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A38" w:rsidRPr="00373289"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373289">
        <w:rPr>
          <w:rFonts w:ascii="Calibri" w:hAnsi="Calibri"/>
        </w:rPr>
        <w:t xml:space="preserve">: </w:t>
      </w:r>
      <w:r w:rsidRPr="00373289">
        <w:rPr>
          <w:rStyle w:val="FootnoteReference"/>
          <w:rFonts w:ascii="Calibri" w:hAnsi="Calibri"/>
          <w:sz w:val="22"/>
          <w:vertAlign w:val="superscript"/>
        </w:rPr>
        <w:footnoteReference w:id="1"/>
      </w:r>
      <w:r w:rsidR="000049D8" w:rsidRPr="00373289">
        <w:rPr>
          <w:rFonts w:ascii="Calibri" w:hAnsi="Calibri"/>
        </w:rPr>
        <w:t xml:space="preserve">  </w:t>
      </w:r>
      <w:r w:rsidR="005F29DB" w:rsidRPr="00373289">
        <w:rPr>
          <w:rFonts w:ascii="Calibri" w:hAnsi="Calibri"/>
        </w:rPr>
        <w:t>ARM9</w:t>
      </w:r>
      <w:r w:rsidRPr="00373289">
        <w:rPr>
          <w:rFonts w:ascii="Calibri" w:hAnsi="Calibri"/>
        </w:rPr>
        <w:t>-</w:t>
      </w:r>
      <w:r w:rsidR="00373289" w:rsidRPr="00373289">
        <w:rPr>
          <w:rFonts w:ascii="Calibri" w:hAnsi="Calibri"/>
        </w:rPr>
        <w:t>11.</w:t>
      </w:r>
      <w:r w:rsidR="006E79E5">
        <w:rPr>
          <w:rFonts w:ascii="Calibri" w:hAnsi="Calibri"/>
        </w:rPr>
        <w:t>1</w:t>
      </w:r>
      <w:r w:rsidR="00273D02">
        <w:rPr>
          <w:rFonts w:ascii="Calibri" w:hAnsi="Calibri"/>
        </w:rPr>
        <w:t>2</w:t>
      </w:r>
    </w:p>
    <w:p w:rsidR="00BF32F0" w:rsidRPr="00373289" w:rsidRDefault="00BF32F0" w:rsidP="00FE5674">
      <w:pPr>
        <w:pStyle w:val="BodyText"/>
        <w:tabs>
          <w:tab w:val="left" w:pos="2835"/>
        </w:tabs>
        <w:rPr>
          <w:rFonts w:ascii="Calibri" w:hAnsi="Calibri"/>
        </w:rPr>
      </w:pPr>
    </w:p>
    <w:p w:rsidR="00D019CE" w:rsidRPr="00373289" w:rsidRDefault="00D019CE" w:rsidP="00FE5674">
      <w:pPr>
        <w:pStyle w:val="BodyText"/>
        <w:tabs>
          <w:tab w:val="left" w:pos="2835"/>
        </w:tabs>
        <w:rPr>
          <w:rFonts w:ascii="Calibri" w:hAnsi="Calibri"/>
        </w:rPr>
      </w:pPr>
    </w:p>
    <w:p w:rsidR="0080294B" w:rsidRPr="00373289" w:rsidRDefault="00E558C3" w:rsidP="00FE5674">
      <w:pPr>
        <w:pStyle w:val="BodyText"/>
        <w:tabs>
          <w:tab w:val="left" w:pos="2835"/>
        </w:tabs>
        <w:rPr>
          <w:rFonts w:ascii="Calibri" w:hAnsi="Calibri"/>
        </w:rPr>
      </w:pPr>
      <w:r w:rsidRPr="00373289">
        <w:rPr>
          <w:rFonts w:ascii="Calibri" w:hAnsi="Calibri"/>
        </w:rPr>
        <w:t xml:space="preserve">Input paper for the following Committee(s): </w:t>
      </w:r>
      <w:r w:rsidRPr="00373289">
        <w:rPr>
          <w:rFonts w:ascii="Calibri" w:hAnsi="Calibri"/>
        </w:rPr>
        <w:tab/>
      </w:r>
      <w:r w:rsidRPr="00373289">
        <w:rPr>
          <w:rFonts w:ascii="Calibri" w:hAnsi="Calibri"/>
          <w:sz w:val="18"/>
          <w:szCs w:val="18"/>
        </w:rPr>
        <w:t>check as appropriate</w:t>
      </w:r>
      <w:r w:rsidRPr="00373289">
        <w:rPr>
          <w:rFonts w:ascii="Calibri" w:hAnsi="Calibri"/>
          <w:sz w:val="18"/>
          <w:szCs w:val="18"/>
        </w:rPr>
        <w:tab/>
      </w:r>
      <w:r w:rsidRPr="00373289">
        <w:rPr>
          <w:rFonts w:ascii="Calibri" w:hAnsi="Calibri"/>
        </w:rPr>
        <w:tab/>
        <w:t>Purpose of paper:</w:t>
      </w:r>
    </w:p>
    <w:p w:rsidR="0080294B" w:rsidRPr="00373289" w:rsidRDefault="00D864E3" w:rsidP="00037DF4">
      <w:pPr>
        <w:pStyle w:val="BodyText"/>
        <w:tabs>
          <w:tab w:val="left" w:pos="1843"/>
        </w:tabs>
        <w:rPr>
          <w:rFonts w:ascii="Calibri" w:hAnsi="Calibri" w:cs="Arial"/>
          <w:b/>
          <w:sz w:val="24"/>
          <w:szCs w:val="24"/>
        </w:rPr>
      </w:pPr>
      <w:proofErr w:type="gramStart"/>
      <w:r w:rsidRPr="00373289">
        <w:rPr>
          <w:rFonts w:ascii="Calibri" w:hAnsi="Calibri" w:cs="Arial"/>
          <w:b/>
          <w:sz w:val="24"/>
          <w:szCs w:val="24"/>
        </w:rPr>
        <w:t>X</w:t>
      </w:r>
      <w:r w:rsidR="0080294B" w:rsidRPr="00373289">
        <w:rPr>
          <w:rFonts w:ascii="Calibri" w:hAnsi="Calibri" w:cs="Arial"/>
          <w:sz w:val="24"/>
          <w:szCs w:val="24"/>
        </w:rPr>
        <w:t xml:space="preserve">  </w:t>
      </w:r>
      <w:r w:rsidR="0080294B" w:rsidRPr="00373289">
        <w:rPr>
          <w:rFonts w:ascii="Calibri" w:hAnsi="Calibri" w:cs="Arial"/>
        </w:rPr>
        <w:t>ARM</w:t>
      </w:r>
      <w:proofErr w:type="gramEnd"/>
      <w:r w:rsidR="00037DF4" w:rsidRPr="00373289">
        <w:rPr>
          <w:rFonts w:ascii="Calibri" w:hAnsi="Calibri" w:cs="Arial"/>
        </w:rPr>
        <w:tab/>
      </w:r>
      <w:r w:rsidR="0080294B" w:rsidRPr="00373289">
        <w:rPr>
          <w:rFonts w:ascii="Calibri" w:hAnsi="Calibri" w:cs="Arial"/>
          <w:b/>
          <w:sz w:val="24"/>
          <w:szCs w:val="24"/>
        </w:rPr>
        <w:t>□</w:t>
      </w:r>
      <w:r w:rsidR="0080294B" w:rsidRPr="00373289">
        <w:rPr>
          <w:rFonts w:ascii="Calibri" w:hAnsi="Calibri" w:cs="Arial"/>
          <w:sz w:val="24"/>
          <w:szCs w:val="24"/>
        </w:rPr>
        <w:t xml:space="preserve">  </w:t>
      </w:r>
      <w:r w:rsidR="0080294B" w:rsidRPr="00373289">
        <w:rPr>
          <w:rFonts w:ascii="Calibri" w:hAnsi="Calibri" w:cs="Arial"/>
        </w:rPr>
        <w:t>ENG</w:t>
      </w:r>
      <w:r w:rsidR="0080294B" w:rsidRPr="00373289">
        <w:rPr>
          <w:rFonts w:ascii="Calibri" w:hAnsi="Calibri" w:cs="Arial"/>
        </w:rPr>
        <w:tab/>
      </w:r>
      <w:r w:rsidR="0080294B" w:rsidRPr="00373289">
        <w:rPr>
          <w:rFonts w:ascii="Calibri" w:hAnsi="Calibri" w:cs="Arial"/>
        </w:rPr>
        <w:tab/>
      </w:r>
      <w:r w:rsidR="0080294B" w:rsidRPr="00373289">
        <w:rPr>
          <w:rFonts w:ascii="Calibri" w:hAnsi="Calibri" w:cs="Arial"/>
          <w:b/>
          <w:sz w:val="24"/>
          <w:szCs w:val="24"/>
        </w:rPr>
        <w:t>□</w:t>
      </w:r>
      <w:r w:rsidR="0080294B" w:rsidRPr="00373289">
        <w:rPr>
          <w:rFonts w:ascii="Calibri" w:hAnsi="Calibri" w:cs="Arial"/>
          <w:sz w:val="24"/>
          <w:szCs w:val="24"/>
        </w:rPr>
        <w:t xml:space="preserve">  </w:t>
      </w:r>
      <w:r w:rsidR="0080294B" w:rsidRPr="00373289">
        <w:rPr>
          <w:rFonts w:ascii="Calibri" w:hAnsi="Calibri" w:cs="Arial"/>
        </w:rPr>
        <w:t>PAP</w:t>
      </w:r>
      <w:r w:rsidR="0080294B" w:rsidRPr="00373289">
        <w:rPr>
          <w:rFonts w:ascii="Calibri" w:hAnsi="Calibri" w:cs="Arial"/>
          <w:sz w:val="24"/>
          <w:szCs w:val="24"/>
        </w:rPr>
        <w:tab/>
      </w:r>
      <w:r w:rsidR="0080294B" w:rsidRPr="00373289">
        <w:rPr>
          <w:rFonts w:ascii="Calibri" w:hAnsi="Calibri" w:cs="Arial"/>
          <w:sz w:val="24"/>
          <w:szCs w:val="24"/>
        </w:rPr>
        <w:tab/>
      </w:r>
      <w:r w:rsidR="00037DF4" w:rsidRPr="00373289">
        <w:rPr>
          <w:rFonts w:ascii="Calibri" w:hAnsi="Calibri" w:cs="Arial"/>
          <w:sz w:val="24"/>
          <w:szCs w:val="24"/>
        </w:rPr>
        <w:tab/>
      </w:r>
      <w:r w:rsidR="00037DF4" w:rsidRPr="00373289">
        <w:rPr>
          <w:rFonts w:ascii="Calibri" w:hAnsi="Calibri" w:cs="Arial"/>
          <w:sz w:val="24"/>
          <w:szCs w:val="24"/>
        </w:rPr>
        <w:tab/>
      </w:r>
      <w:r w:rsidR="00037DF4" w:rsidRPr="00373289">
        <w:rPr>
          <w:rFonts w:ascii="Calibri" w:hAnsi="Calibri" w:cs="Arial"/>
          <w:sz w:val="24"/>
          <w:szCs w:val="24"/>
        </w:rPr>
        <w:tab/>
      </w:r>
      <w:r w:rsidR="005A2EBC" w:rsidRPr="00373289">
        <w:rPr>
          <w:rFonts w:ascii="Calibri" w:hAnsi="Calibri" w:cs="Arial"/>
          <w:b/>
          <w:sz w:val="24"/>
          <w:szCs w:val="24"/>
        </w:rPr>
        <w:t>X</w:t>
      </w:r>
      <w:r w:rsidR="0080294B" w:rsidRPr="00373289">
        <w:rPr>
          <w:rFonts w:ascii="Calibri" w:hAnsi="Calibri" w:cs="Arial"/>
          <w:sz w:val="24"/>
          <w:szCs w:val="24"/>
        </w:rPr>
        <w:t xml:space="preserve">  Input</w:t>
      </w:r>
    </w:p>
    <w:p w:rsidR="0080294B" w:rsidRPr="00373289" w:rsidRDefault="0080294B" w:rsidP="00037DF4">
      <w:pPr>
        <w:pStyle w:val="BodyText"/>
        <w:tabs>
          <w:tab w:val="left" w:pos="1843"/>
        </w:tabs>
        <w:rPr>
          <w:rFonts w:ascii="Calibri" w:hAnsi="Calibri"/>
        </w:rPr>
      </w:pPr>
      <w:proofErr w:type="gramStart"/>
      <w:r w:rsidRPr="00373289">
        <w:rPr>
          <w:rFonts w:ascii="Calibri" w:hAnsi="Calibri" w:cs="Arial"/>
          <w:b/>
          <w:sz w:val="24"/>
          <w:szCs w:val="24"/>
        </w:rPr>
        <w:t>□</w:t>
      </w:r>
      <w:r w:rsidRPr="00373289">
        <w:rPr>
          <w:rFonts w:ascii="Calibri" w:hAnsi="Calibri" w:cs="Arial"/>
          <w:sz w:val="24"/>
          <w:szCs w:val="24"/>
        </w:rPr>
        <w:t xml:space="preserve">  </w:t>
      </w:r>
      <w:r w:rsidRPr="00373289">
        <w:rPr>
          <w:rFonts w:ascii="Calibri" w:hAnsi="Calibri" w:cs="Arial"/>
        </w:rPr>
        <w:t>ENAV</w:t>
      </w:r>
      <w:proofErr w:type="gramEnd"/>
      <w:r w:rsidRPr="00373289">
        <w:rPr>
          <w:rFonts w:ascii="Calibri" w:hAnsi="Calibri" w:cs="Arial"/>
          <w:b/>
          <w:sz w:val="24"/>
          <w:szCs w:val="24"/>
        </w:rPr>
        <w:tab/>
        <w:t>□</w:t>
      </w:r>
      <w:r w:rsidRPr="00373289">
        <w:rPr>
          <w:rFonts w:ascii="Calibri" w:hAnsi="Calibri" w:cs="Arial"/>
          <w:sz w:val="24"/>
          <w:szCs w:val="24"/>
        </w:rPr>
        <w:t xml:space="preserve">  </w:t>
      </w:r>
      <w:r w:rsidR="003D2DC1" w:rsidRPr="00373289">
        <w:rPr>
          <w:rFonts w:ascii="Calibri" w:hAnsi="Calibri" w:cs="Arial"/>
        </w:rPr>
        <w:t>VTS</w:t>
      </w:r>
      <w:r w:rsidRPr="00373289">
        <w:rPr>
          <w:rFonts w:ascii="Calibri" w:hAnsi="Calibri" w:cs="Arial"/>
          <w:sz w:val="24"/>
          <w:szCs w:val="24"/>
        </w:rPr>
        <w:tab/>
      </w:r>
      <w:r w:rsidRPr="00373289">
        <w:rPr>
          <w:rFonts w:ascii="Calibri" w:hAnsi="Calibri" w:cs="Arial"/>
          <w:sz w:val="24"/>
          <w:szCs w:val="24"/>
        </w:rPr>
        <w:tab/>
      </w:r>
      <w:r w:rsidRPr="00373289">
        <w:rPr>
          <w:rFonts w:ascii="Calibri" w:hAnsi="Calibri" w:cs="Arial"/>
          <w:sz w:val="24"/>
          <w:szCs w:val="24"/>
        </w:rPr>
        <w:tab/>
      </w:r>
      <w:r w:rsidRPr="00373289">
        <w:rPr>
          <w:rFonts w:ascii="Calibri" w:hAnsi="Calibri" w:cs="Arial"/>
          <w:sz w:val="24"/>
          <w:szCs w:val="24"/>
        </w:rPr>
        <w:tab/>
      </w:r>
      <w:r w:rsidRPr="00373289">
        <w:rPr>
          <w:rFonts w:ascii="Calibri" w:hAnsi="Calibri" w:cs="Arial"/>
          <w:sz w:val="24"/>
          <w:szCs w:val="24"/>
        </w:rPr>
        <w:tab/>
      </w:r>
      <w:r w:rsidR="00037DF4" w:rsidRPr="00373289">
        <w:rPr>
          <w:rFonts w:ascii="Calibri" w:hAnsi="Calibri" w:cs="Arial"/>
          <w:sz w:val="24"/>
          <w:szCs w:val="24"/>
        </w:rPr>
        <w:tab/>
      </w:r>
      <w:r w:rsidR="00037DF4" w:rsidRPr="00373289">
        <w:rPr>
          <w:rFonts w:ascii="Calibri" w:hAnsi="Calibri" w:cs="Arial"/>
          <w:sz w:val="24"/>
          <w:szCs w:val="24"/>
        </w:rPr>
        <w:tab/>
      </w:r>
      <w:r w:rsidR="005A2EBC" w:rsidRPr="00373289">
        <w:rPr>
          <w:rFonts w:ascii="Calibri" w:hAnsi="Calibri" w:cs="Arial"/>
          <w:b/>
          <w:sz w:val="24"/>
          <w:szCs w:val="24"/>
        </w:rPr>
        <w:t>□</w:t>
      </w:r>
      <w:r w:rsidR="00D864E3" w:rsidRPr="00373289">
        <w:rPr>
          <w:rFonts w:ascii="Calibri" w:hAnsi="Calibri" w:cs="Arial"/>
          <w:sz w:val="24"/>
          <w:szCs w:val="24"/>
        </w:rPr>
        <w:t xml:space="preserve">  </w:t>
      </w:r>
      <w:r w:rsidRPr="00373289">
        <w:rPr>
          <w:rFonts w:ascii="Calibri" w:hAnsi="Calibri" w:cs="Arial"/>
          <w:sz w:val="24"/>
          <w:szCs w:val="24"/>
        </w:rPr>
        <w:t>Information</w:t>
      </w:r>
    </w:p>
    <w:p w:rsidR="0080294B" w:rsidRPr="00373289" w:rsidRDefault="0080294B" w:rsidP="00FE5674">
      <w:pPr>
        <w:pStyle w:val="BodyText"/>
        <w:tabs>
          <w:tab w:val="left" w:pos="2835"/>
        </w:tabs>
        <w:rPr>
          <w:rFonts w:ascii="Calibri" w:hAnsi="Calibri"/>
        </w:rPr>
      </w:pPr>
    </w:p>
    <w:p w:rsidR="00A446C9" w:rsidRPr="00373289" w:rsidRDefault="00A446C9" w:rsidP="00FE5674">
      <w:pPr>
        <w:pStyle w:val="BodyText"/>
        <w:tabs>
          <w:tab w:val="left" w:pos="2835"/>
        </w:tabs>
        <w:rPr>
          <w:rFonts w:ascii="Calibri" w:hAnsi="Calibri"/>
        </w:rPr>
      </w:pPr>
      <w:r w:rsidRPr="00373289">
        <w:rPr>
          <w:rFonts w:ascii="Calibri" w:hAnsi="Calibri"/>
        </w:rPr>
        <w:t>Agenda item</w:t>
      </w:r>
      <w:r w:rsidR="00037DF4" w:rsidRPr="00373289">
        <w:rPr>
          <w:rFonts w:ascii="Calibri" w:hAnsi="Calibri"/>
        </w:rPr>
        <w:t xml:space="preserve"> </w:t>
      </w:r>
      <w:r w:rsidR="00037DF4" w:rsidRPr="00373289">
        <w:rPr>
          <w:rStyle w:val="FootnoteReference"/>
          <w:rFonts w:ascii="Calibri" w:hAnsi="Calibri"/>
          <w:sz w:val="22"/>
          <w:vertAlign w:val="superscript"/>
        </w:rPr>
        <w:footnoteReference w:id="2"/>
      </w:r>
      <w:r w:rsidR="001C44A3" w:rsidRPr="00373289">
        <w:rPr>
          <w:rFonts w:ascii="Calibri" w:hAnsi="Calibri"/>
        </w:rPr>
        <w:tab/>
      </w:r>
      <w:r w:rsidR="00612403" w:rsidRPr="00373289">
        <w:rPr>
          <w:rFonts w:ascii="Calibri" w:hAnsi="Calibri"/>
        </w:rPr>
        <w:tab/>
      </w:r>
      <w:r w:rsidR="00612403" w:rsidRPr="00373289">
        <w:rPr>
          <w:rFonts w:ascii="Calibri" w:hAnsi="Calibri"/>
        </w:rPr>
        <w:tab/>
        <w:t>1</w:t>
      </w:r>
      <w:r w:rsidR="00373289" w:rsidRPr="00373289">
        <w:rPr>
          <w:rFonts w:ascii="Calibri" w:hAnsi="Calibri"/>
        </w:rPr>
        <w:t>1</w:t>
      </w:r>
      <w:bookmarkStart w:id="0" w:name="_GoBack"/>
      <w:bookmarkEnd w:id="0"/>
    </w:p>
    <w:p w:rsidR="00A446C9" w:rsidRPr="007A395D" w:rsidRDefault="0080294B" w:rsidP="00FE5674">
      <w:pPr>
        <w:pStyle w:val="BodyText"/>
        <w:tabs>
          <w:tab w:val="left" w:pos="2835"/>
        </w:tabs>
        <w:rPr>
          <w:rFonts w:ascii="Calibri" w:hAnsi="Calibri"/>
        </w:rPr>
      </w:pPr>
      <w:r w:rsidRPr="00373289">
        <w:rPr>
          <w:rFonts w:ascii="Calibri" w:hAnsi="Calibri"/>
        </w:rPr>
        <w:t xml:space="preserve">Technical Domain / </w:t>
      </w:r>
      <w:r w:rsidR="00A446C9" w:rsidRPr="00373289">
        <w:rPr>
          <w:rFonts w:ascii="Calibri" w:hAnsi="Calibri"/>
        </w:rPr>
        <w:t>Task Number</w:t>
      </w:r>
      <w:r w:rsidR="00037DF4" w:rsidRPr="00373289">
        <w:rPr>
          <w:rFonts w:ascii="Calibri" w:hAnsi="Calibri"/>
        </w:rPr>
        <w:t xml:space="preserve"> </w:t>
      </w:r>
      <w:r w:rsidR="00037DF4" w:rsidRPr="00373289">
        <w:rPr>
          <w:rFonts w:ascii="Calibri" w:hAnsi="Calibri"/>
          <w:vertAlign w:val="superscript"/>
        </w:rPr>
        <w:t>2</w:t>
      </w:r>
      <w:r w:rsidR="001C44A3" w:rsidRPr="00373289">
        <w:rPr>
          <w:rFonts w:ascii="Calibri" w:hAnsi="Calibri"/>
        </w:rPr>
        <w:tab/>
      </w:r>
      <w:r w:rsidR="00612403" w:rsidRPr="00373289">
        <w:rPr>
          <w:rFonts w:ascii="Calibri" w:hAnsi="Calibri"/>
        </w:rPr>
        <w:t>Risk management Task 1.2.1</w:t>
      </w:r>
    </w:p>
    <w:p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D864E3">
        <w:rPr>
          <w:rFonts w:ascii="Calibri" w:hAnsi="Calibri"/>
        </w:rPr>
        <w:tab/>
      </w:r>
      <w:r w:rsidR="00D864E3">
        <w:rPr>
          <w:rFonts w:ascii="Calibri" w:hAnsi="Calibri"/>
        </w:rPr>
        <w:tab/>
        <w:t>Grant Judson, Australia</w:t>
      </w:r>
    </w:p>
    <w:p w:rsidR="00E07085" w:rsidRDefault="00E07085" w:rsidP="00A446C9">
      <w:pPr>
        <w:pStyle w:val="Title"/>
        <w:rPr>
          <w:rFonts w:ascii="Calibri" w:hAnsi="Calibri"/>
          <w:color w:val="0070C0"/>
        </w:rPr>
      </w:pPr>
    </w:p>
    <w:p w:rsidR="00A446C9" w:rsidRPr="00605E43" w:rsidRDefault="00D864E3" w:rsidP="00A446C9">
      <w:pPr>
        <w:pStyle w:val="Title"/>
        <w:rPr>
          <w:rFonts w:ascii="Calibri" w:hAnsi="Calibri"/>
          <w:color w:val="0070C0"/>
        </w:rPr>
      </w:pPr>
      <w:r>
        <w:rPr>
          <w:rFonts w:ascii="Calibri" w:hAnsi="Calibri"/>
          <w:color w:val="0070C0"/>
        </w:rPr>
        <w:t>Use of the Simplified IALA Risk Assessment tool</w:t>
      </w:r>
      <w:r w:rsidR="005A2EBC">
        <w:rPr>
          <w:rFonts w:ascii="Calibri" w:hAnsi="Calibri"/>
          <w:color w:val="0070C0"/>
        </w:rPr>
        <w:t xml:space="preserve"> (G1138)</w:t>
      </w:r>
    </w:p>
    <w:p w:rsidR="00A446C9" w:rsidRPr="00605E43" w:rsidRDefault="00A446C9" w:rsidP="00605E43">
      <w:pPr>
        <w:pStyle w:val="Heading1"/>
      </w:pPr>
      <w:r w:rsidRPr="00605E43">
        <w:t>Summary</w:t>
      </w:r>
    </w:p>
    <w:p w:rsidR="00D864E3" w:rsidRDefault="00C35214" w:rsidP="00D864E3">
      <w:pPr>
        <w:pStyle w:val="BodyText"/>
        <w:rPr>
          <w:rFonts w:ascii="Calibri" w:hAnsi="Calibri"/>
        </w:rPr>
      </w:pPr>
      <w:r>
        <w:rPr>
          <w:rFonts w:ascii="Calibri" w:hAnsi="Calibri"/>
        </w:rPr>
        <w:t>The 65</w:t>
      </w:r>
      <w:r w:rsidRPr="00D864E3">
        <w:rPr>
          <w:rFonts w:ascii="Calibri" w:hAnsi="Calibri"/>
          <w:vertAlign w:val="superscript"/>
        </w:rPr>
        <w:t>th</w:t>
      </w:r>
      <w:r>
        <w:rPr>
          <w:rFonts w:ascii="Calibri" w:hAnsi="Calibri"/>
        </w:rPr>
        <w:t xml:space="preserve"> session of the IALA Council approved t</w:t>
      </w:r>
      <w:r w:rsidR="00D864E3">
        <w:rPr>
          <w:rFonts w:ascii="Calibri" w:hAnsi="Calibri"/>
        </w:rPr>
        <w:t xml:space="preserve">he Simplified IALA Risk Assessment </w:t>
      </w:r>
      <w:r w:rsidR="00EC12D8">
        <w:rPr>
          <w:rFonts w:ascii="Calibri" w:hAnsi="Calibri"/>
        </w:rPr>
        <w:t xml:space="preserve">(SIRA) </w:t>
      </w:r>
      <w:r w:rsidR="00D864E3">
        <w:rPr>
          <w:rFonts w:ascii="Calibri" w:hAnsi="Calibri"/>
        </w:rPr>
        <w:t xml:space="preserve">tool (IALA Guideline G1138) in December 2017.  </w:t>
      </w:r>
      <w:r w:rsidR="00EC12D8">
        <w:rPr>
          <w:rFonts w:ascii="Calibri" w:hAnsi="Calibri"/>
        </w:rPr>
        <w:t>Primarily designed for u</w:t>
      </w:r>
      <w:r w:rsidR="0068287E">
        <w:rPr>
          <w:rFonts w:ascii="Calibri" w:hAnsi="Calibri"/>
        </w:rPr>
        <w:t xml:space="preserve">se by developing countries, </w:t>
      </w:r>
      <w:r w:rsidR="00EC12D8">
        <w:rPr>
          <w:rFonts w:ascii="Calibri" w:hAnsi="Calibri"/>
        </w:rPr>
        <w:t xml:space="preserve">SIRA </w:t>
      </w:r>
      <w:r w:rsidR="0068287E">
        <w:rPr>
          <w:rFonts w:ascii="Calibri" w:hAnsi="Calibri"/>
        </w:rPr>
        <w:t xml:space="preserve">provides a structured process for conducting a qualitative risk assessment </w:t>
      </w:r>
      <w:r w:rsidR="00BA39F5">
        <w:rPr>
          <w:rFonts w:ascii="Calibri" w:hAnsi="Calibri"/>
        </w:rPr>
        <w:t>for relatively small areas</w:t>
      </w:r>
      <w:r w:rsidR="0068287E">
        <w:rPr>
          <w:rFonts w:ascii="Calibri" w:hAnsi="Calibri"/>
        </w:rPr>
        <w:t xml:space="preserve"> or regions, prompting the user with opportunities to </w:t>
      </w:r>
      <w:r w:rsidR="00036BCD">
        <w:rPr>
          <w:rFonts w:ascii="Calibri" w:hAnsi="Calibri"/>
        </w:rPr>
        <w:t>implement risk control options.</w:t>
      </w:r>
      <w:r w:rsidR="0068287E">
        <w:rPr>
          <w:rFonts w:ascii="Calibri" w:hAnsi="Calibri"/>
        </w:rPr>
        <w:t xml:space="preserve"> </w:t>
      </w:r>
      <w:r w:rsidR="005A2EBC">
        <w:rPr>
          <w:rFonts w:ascii="Calibri" w:hAnsi="Calibri"/>
        </w:rPr>
        <w:t>The Australian Maritime Safety Authorities (AMSA)</w:t>
      </w:r>
      <w:r>
        <w:rPr>
          <w:rFonts w:ascii="Calibri" w:hAnsi="Calibri"/>
        </w:rPr>
        <w:t xml:space="preserve"> experience in using this tool, and sharing results with other competent AtoN authorities </w:t>
      </w:r>
      <w:r w:rsidR="00B46DB3">
        <w:rPr>
          <w:rFonts w:ascii="Calibri" w:hAnsi="Calibri"/>
        </w:rPr>
        <w:t xml:space="preserve">(within Australia) </w:t>
      </w:r>
      <w:r>
        <w:rPr>
          <w:rFonts w:ascii="Calibri" w:hAnsi="Calibri"/>
        </w:rPr>
        <w:t xml:space="preserve">has proven </w:t>
      </w:r>
      <w:r w:rsidR="005A2EBC">
        <w:rPr>
          <w:rFonts w:ascii="Calibri" w:hAnsi="Calibri"/>
        </w:rPr>
        <w:t xml:space="preserve">that it is </w:t>
      </w:r>
      <w:r>
        <w:rPr>
          <w:rFonts w:ascii="Calibri" w:hAnsi="Calibri"/>
        </w:rPr>
        <w:t xml:space="preserve">an effective means of analysing and assessing a situation, considering appropriate risk controls, and recording the justifications </w:t>
      </w:r>
      <w:r w:rsidR="00B46DB3">
        <w:rPr>
          <w:rFonts w:ascii="Calibri" w:hAnsi="Calibri"/>
        </w:rPr>
        <w:t xml:space="preserve">for </w:t>
      </w:r>
      <w:r>
        <w:rPr>
          <w:rFonts w:ascii="Calibri" w:hAnsi="Calibri"/>
        </w:rPr>
        <w:t>decisions.</w:t>
      </w:r>
      <w:r w:rsidR="00036BCD">
        <w:rPr>
          <w:rFonts w:ascii="Calibri" w:hAnsi="Calibri"/>
        </w:rPr>
        <w:t xml:space="preserve"> The importance of documenting the process and steps that the competent AtoN authority took to justify a change or alteration to risk controls cannot be underestimated. </w:t>
      </w:r>
    </w:p>
    <w:p w:rsidR="00783176" w:rsidRDefault="00783176" w:rsidP="00D864E3">
      <w:pPr>
        <w:pStyle w:val="BodyText"/>
        <w:rPr>
          <w:rFonts w:ascii="Calibri" w:hAnsi="Calibri"/>
        </w:rPr>
      </w:pPr>
      <w:r>
        <w:rPr>
          <w:rFonts w:ascii="Calibri" w:hAnsi="Calibri"/>
        </w:rPr>
        <w:t>For scenarios where an in-depth analysis using IWRAP or PAWSA may not be necessary or appropriate, the simpl</w:t>
      </w:r>
      <w:r w:rsidR="00B46DB3">
        <w:rPr>
          <w:rFonts w:ascii="Calibri" w:hAnsi="Calibri"/>
        </w:rPr>
        <w:t>e</w:t>
      </w:r>
      <w:r>
        <w:rPr>
          <w:rFonts w:ascii="Calibri" w:hAnsi="Calibri"/>
        </w:rPr>
        <w:t xml:space="preserve"> process established in G1138</w:t>
      </w:r>
      <w:r w:rsidR="00B46DB3">
        <w:rPr>
          <w:rFonts w:ascii="Calibri" w:hAnsi="Calibri"/>
        </w:rPr>
        <w:t xml:space="preserve"> offer</w:t>
      </w:r>
      <w:r w:rsidR="00BA39F5">
        <w:rPr>
          <w:rFonts w:ascii="Calibri" w:hAnsi="Calibri"/>
        </w:rPr>
        <w:t>s</w:t>
      </w:r>
      <w:r w:rsidR="00B46DB3">
        <w:rPr>
          <w:rFonts w:ascii="Calibri" w:hAnsi="Calibri"/>
        </w:rPr>
        <w:t xml:space="preserve"> ma</w:t>
      </w:r>
      <w:r w:rsidR="00BA39F5">
        <w:rPr>
          <w:rFonts w:ascii="Calibri" w:hAnsi="Calibri"/>
        </w:rPr>
        <w:t>n</w:t>
      </w:r>
      <w:r w:rsidR="00B46DB3">
        <w:rPr>
          <w:rFonts w:ascii="Calibri" w:hAnsi="Calibri"/>
        </w:rPr>
        <w:t>y benefits</w:t>
      </w:r>
      <w:r>
        <w:rPr>
          <w:rFonts w:ascii="Calibri" w:hAnsi="Calibri"/>
        </w:rPr>
        <w:t xml:space="preserve">. Through experience </w:t>
      </w:r>
      <w:r w:rsidR="00B46DB3">
        <w:rPr>
          <w:rFonts w:ascii="Calibri" w:hAnsi="Calibri"/>
        </w:rPr>
        <w:t xml:space="preserve">gained </w:t>
      </w:r>
      <w:r>
        <w:rPr>
          <w:rFonts w:ascii="Calibri" w:hAnsi="Calibri"/>
        </w:rPr>
        <w:t xml:space="preserve">with the </w:t>
      </w:r>
      <w:r w:rsidR="00B46DB3">
        <w:rPr>
          <w:rFonts w:ascii="Calibri" w:hAnsi="Calibri"/>
        </w:rPr>
        <w:t xml:space="preserve">use of the </w:t>
      </w:r>
      <w:r>
        <w:rPr>
          <w:rFonts w:ascii="Calibri" w:hAnsi="Calibri"/>
        </w:rPr>
        <w:t xml:space="preserve">tool, Australia </w:t>
      </w:r>
      <w:r w:rsidR="00B46DB3">
        <w:rPr>
          <w:rFonts w:ascii="Calibri" w:hAnsi="Calibri"/>
        </w:rPr>
        <w:t>proposes</w:t>
      </w:r>
      <w:r>
        <w:rPr>
          <w:rFonts w:ascii="Calibri" w:hAnsi="Calibri"/>
        </w:rPr>
        <w:t xml:space="preserve"> improvement</w:t>
      </w:r>
      <w:r w:rsidR="00BA39F5">
        <w:rPr>
          <w:rFonts w:ascii="Calibri" w:hAnsi="Calibri"/>
        </w:rPr>
        <w:t>s</w:t>
      </w:r>
      <w:r>
        <w:rPr>
          <w:rFonts w:ascii="Calibri" w:hAnsi="Calibri"/>
        </w:rPr>
        <w:t xml:space="preserve"> to the SIRA guideline. </w:t>
      </w:r>
    </w:p>
    <w:p w:rsidR="001C44A3" w:rsidRPr="00605E43" w:rsidRDefault="00BD4E6F" w:rsidP="00605E43">
      <w:pPr>
        <w:pStyle w:val="Heading2"/>
      </w:pPr>
      <w:r w:rsidRPr="00605E43">
        <w:t>Purpose</w:t>
      </w:r>
      <w:r w:rsidR="004D1D85" w:rsidRPr="00605E43">
        <w:t xml:space="preserve"> of the document</w:t>
      </w:r>
    </w:p>
    <w:p w:rsidR="00E55927" w:rsidRPr="007A395D" w:rsidRDefault="00783176" w:rsidP="00E55927">
      <w:pPr>
        <w:pStyle w:val="BodyText"/>
        <w:rPr>
          <w:rFonts w:ascii="Calibri" w:hAnsi="Calibri"/>
        </w:rPr>
      </w:pPr>
      <w:r>
        <w:rPr>
          <w:rFonts w:ascii="Calibri" w:hAnsi="Calibri"/>
        </w:rPr>
        <w:t xml:space="preserve">The purpose of this paper is to </w:t>
      </w:r>
      <w:r w:rsidR="0085001A">
        <w:rPr>
          <w:rFonts w:ascii="Calibri" w:hAnsi="Calibri"/>
        </w:rPr>
        <w:t>provide</w:t>
      </w:r>
      <w:r>
        <w:rPr>
          <w:rFonts w:ascii="Calibri" w:hAnsi="Calibri"/>
        </w:rPr>
        <w:t xml:space="preserve"> </w:t>
      </w:r>
      <w:r w:rsidR="0085001A">
        <w:rPr>
          <w:rFonts w:ascii="Calibri" w:hAnsi="Calibri"/>
        </w:rPr>
        <w:t>a simple example of the SIRA process in use</w:t>
      </w:r>
      <w:r w:rsidR="00A202F1">
        <w:rPr>
          <w:rFonts w:ascii="Calibri" w:hAnsi="Calibri"/>
        </w:rPr>
        <w:t>,</w:t>
      </w:r>
      <w:r w:rsidR="0085001A">
        <w:rPr>
          <w:rFonts w:ascii="Calibri" w:hAnsi="Calibri"/>
        </w:rPr>
        <w:t xml:space="preserve"> and </w:t>
      </w:r>
      <w:r w:rsidR="00A202F1">
        <w:rPr>
          <w:rFonts w:ascii="Calibri" w:hAnsi="Calibri"/>
        </w:rPr>
        <w:t xml:space="preserve">to </w:t>
      </w:r>
      <w:r w:rsidR="0085001A">
        <w:rPr>
          <w:rFonts w:ascii="Calibri" w:hAnsi="Calibri"/>
        </w:rPr>
        <w:t>offer</w:t>
      </w:r>
      <w:r w:rsidR="00A202F1">
        <w:rPr>
          <w:rFonts w:ascii="Calibri" w:hAnsi="Calibri"/>
        </w:rPr>
        <w:t xml:space="preserve"> some</w:t>
      </w:r>
      <w:r w:rsidR="0085001A">
        <w:rPr>
          <w:rFonts w:ascii="Calibri" w:hAnsi="Calibri"/>
        </w:rPr>
        <w:t xml:space="preserve"> </w:t>
      </w:r>
      <w:r>
        <w:rPr>
          <w:rFonts w:ascii="Calibri" w:hAnsi="Calibri"/>
        </w:rPr>
        <w:t>improv</w:t>
      </w:r>
      <w:r w:rsidR="00A202F1">
        <w:rPr>
          <w:rFonts w:ascii="Calibri" w:hAnsi="Calibri"/>
        </w:rPr>
        <w:t xml:space="preserve">ements to </w:t>
      </w:r>
      <w:r w:rsidR="00B46DB3">
        <w:rPr>
          <w:rFonts w:ascii="Calibri" w:hAnsi="Calibri"/>
        </w:rPr>
        <w:t xml:space="preserve">the guideline, </w:t>
      </w:r>
      <w:r w:rsidR="00E96375">
        <w:rPr>
          <w:rFonts w:ascii="Calibri" w:hAnsi="Calibri"/>
        </w:rPr>
        <w:t xml:space="preserve">based on </w:t>
      </w:r>
      <w:r>
        <w:rPr>
          <w:rFonts w:ascii="Calibri" w:hAnsi="Calibri"/>
        </w:rPr>
        <w:t xml:space="preserve">experience gained from its use.   </w:t>
      </w:r>
    </w:p>
    <w:p w:rsidR="00A446C9" w:rsidRPr="007A395D" w:rsidRDefault="00A446C9" w:rsidP="00605E43">
      <w:pPr>
        <w:pStyle w:val="Heading1"/>
      </w:pPr>
      <w:r w:rsidRPr="007A395D">
        <w:t>Background</w:t>
      </w:r>
    </w:p>
    <w:p w:rsidR="00783176" w:rsidRDefault="00783176" w:rsidP="00783176">
      <w:pPr>
        <w:pStyle w:val="BodyText"/>
        <w:rPr>
          <w:rFonts w:ascii="Calibri" w:hAnsi="Calibri"/>
        </w:rPr>
      </w:pPr>
      <w:r w:rsidRPr="00D864E3">
        <w:rPr>
          <w:rFonts w:ascii="Calibri" w:hAnsi="Calibri"/>
        </w:rPr>
        <w:t xml:space="preserve">Regulation 13 of Chapter V of the 1974 SOLAS Convention (as amended) states that “each Contracting </w:t>
      </w:r>
      <w:r>
        <w:rPr>
          <w:rFonts w:ascii="Calibri" w:hAnsi="Calibri"/>
        </w:rPr>
        <w:t xml:space="preserve"> </w:t>
      </w:r>
      <w:r w:rsidRPr="00D864E3">
        <w:rPr>
          <w:rFonts w:ascii="Calibri" w:hAnsi="Calibri"/>
        </w:rPr>
        <w:t>Government undertakes to provide, as it deems practical and necessary either individually or in co‐operation with other Contracting Governments, such aids to navigation as the volume of traffic justifies and the degree of risk</w:t>
      </w:r>
      <w:r>
        <w:rPr>
          <w:rFonts w:ascii="Calibri" w:hAnsi="Calibri"/>
        </w:rPr>
        <w:t xml:space="preserve"> </w:t>
      </w:r>
      <w:r w:rsidRPr="00D864E3">
        <w:rPr>
          <w:rFonts w:ascii="Calibri" w:hAnsi="Calibri"/>
        </w:rPr>
        <w:t>requires</w:t>
      </w:r>
      <w:r>
        <w:rPr>
          <w:rFonts w:ascii="Calibri" w:hAnsi="Calibri"/>
        </w:rPr>
        <w:t>.</w:t>
      </w:r>
      <w:r w:rsidRPr="00D864E3">
        <w:rPr>
          <w:rFonts w:ascii="Calibri" w:hAnsi="Calibri"/>
        </w:rPr>
        <w:t>”</w:t>
      </w:r>
    </w:p>
    <w:p w:rsidR="00783176" w:rsidRDefault="00514E17" w:rsidP="00783176">
      <w:pPr>
        <w:pStyle w:val="BodyText"/>
        <w:rPr>
          <w:rFonts w:ascii="Calibri" w:hAnsi="Calibri"/>
        </w:rPr>
      </w:pPr>
      <w:r>
        <w:rPr>
          <w:rFonts w:ascii="Calibri" w:hAnsi="Calibri"/>
        </w:rPr>
        <w:t xml:space="preserve">In fulfilling the above responsibilities, it is necessary to </w:t>
      </w:r>
      <w:r w:rsidR="00A202F1">
        <w:rPr>
          <w:rFonts w:ascii="Calibri" w:hAnsi="Calibri"/>
        </w:rPr>
        <w:t>assess</w:t>
      </w:r>
      <w:r>
        <w:rPr>
          <w:rFonts w:ascii="Calibri" w:hAnsi="Calibri"/>
        </w:rPr>
        <w:t xml:space="preserve"> the risks specific to a particular </w:t>
      </w:r>
      <w:proofErr w:type="gramStart"/>
      <w:r w:rsidR="00B46DB3">
        <w:rPr>
          <w:rFonts w:ascii="Calibri" w:hAnsi="Calibri"/>
        </w:rPr>
        <w:t>situation</w:t>
      </w:r>
      <w:r w:rsidR="00811E54">
        <w:rPr>
          <w:rFonts w:ascii="Calibri" w:hAnsi="Calibri"/>
        </w:rPr>
        <w:t>, and</w:t>
      </w:r>
      <w:proofErr w:type="gramEnd"/>
      <w:r w:rsidR="00811E54">
        <w:rPr>
          <w:rFonts w:ascii="Calibri" w:hAnsi="Calibri"/>
        </w:rPr>
        <w:t xml:space="preserve"> ensure the results and any decisions are recorded</w:t>
      </w:r>
      <w:r>
        <w:rPr>
          <w:rFonts w:ascii="Calibri" w:hAnsi="Calibri"/>
        </w:rPr>
        <w:t xml:space="preserve">. </w:t>
      </w:r>
      <w:r w:rsidR="00783176">
        <w:rPr>
          <w:rFonts w:ascii="Calibri" w:hAnsi="Calibri"/>
        </w:rPr>
        <w:t xml:space="preserve">It is widely acknowledged that the PAWSA and IWRAP tools provide a comprehensive means of assessing the risks associated with a specific area, waterway, or complex situation. However, in situations where </w:t>
      </w:r>
      <w:r w:rsidR="00B46DB3">
        <w:rPr>
          <w:rFonts w:ascii="Calibri" w:hAnsi="Calibri"/>
        </w:rPr>
        <w:t xml:space="preserve">comprehensive </w:t>
      </w:r>
      <w:r w:rsidR="00783176">
        <w:rPr>
          <w:rFonts w:ascii="Calibri" w:hAnsi="Calibri"/>
        </w:rPr>
        <w:t>assessment may not be necessary, SIRA provides a means of conducting a risk assessment and ensuring the results are appropriately considered and recorded for future reference</w:t>
      </w:r>
      <w:r w:rsidR="00A202F1">
        <w:rPr>
          <w:rFonts w:ascii="Calibri" w:hAnsi="Calibri"/>
        </w:rPr>
        <w:t>.</w:t>
      </w:r>
      <w:r w:rsidR="00783176">
        <w:rPr>
          <w:rFonts w:ascii="Calibri" w:hAnsi="Calibri"/>
        </w:rPr>
        <w:t xml:space="preserve"> </w:t>
      </w:r>
      <w:r w:rsidR="00B46DB3">
        <w:rPr>
          <w:rFonts w:ascii="Calibri" w:hAnsi="Calibri"/>
        </w:rPr>
        <w:t xml:space="preserve">  </w:t>
      </w:r>
      <w:r w:rsidR="00BA39F5">
        <w:rPr>
          <w:rFonts w:ascii="Calibri" w:hAnsi="Calibri"/>
        </w:rPr>
        <w:t>The u</w:t>
      </w:r>
      <w:r w:rsidR="00B46DB3">
        <w:rPr>
          <w:rFonts w:ascii="Calibri" w:hAnsi="Calibri"/>
        </w:rPr>
        <w:t>se of internationally-accepted</w:t>
      </w:r>
      <w:r w:rsidR="00701423">
        <w:rPr>
          <w:rFonts w:ascii="Calibri" w:hAnsi="Calibri"/>
        </w:rPr>
        <w:t xml:space="preserve"> risk assessments tools (e.g. SIRA, </w:t>
      </w:r>
      <w:r w:rsidR="00B46DB3">
        <w:rPr>
          <w:rFonts w:ascii="Calibri" w:hAnsi="Calibri"/>
        </w:rPr>
        <w:t xml:space="preserve">PAWSA and IWRAP) </w:t>
      </w:r>
      <w:r w:rsidR="00701423">
        <w:rPr>
          <w:rFonts w:ascii="Calibri" w:hAnsi="Calibri"/>
        </w:rPr>
        <w:lastRenderedPageBreak/>
        <w:t xml:space="preserve">means that the same tools can be used for </w:t>
      </w:r>
      <w:r w:rsidR="00B46DB3">
        <w:rPr>
          <w:rFonts w:ascii="Calibri" w:hAnsi="Calibri"/>
        </w:rPr>
        <w:t>risk assessment globally</w:t>
      </w:r>
      <w:r w:rsidR="00BA39F5">
        <w:rPr>
          <w:rFonts w:ascii="Calibri" w:hAnsi="Calibri"/>
        </w:rPr>
        <w:t>, promoting the sharing of results and opportun</w:t>
      </w:r>
      <w:r w:rsidR="00AD4654">
        <w:rPr>
          <w:rFonts w:ascii="Calibri" w:hAnsi="Calibri"/>
        </w:rPr>
        <w:t>ity</w:t>
      </w:r>
      <w:r w:rsidR="00BA39F5">
        <w:rPr>
          <w:rFonts w:ascii="Calibri" w:hAnsi="Calibri"/>
        </w:rPr>
        <w:t xml:space="preserve"> to build capacity with regional partners. </w:t>
      </w:r>
    </w:p>
    <w:p w:rsidR="00514E17" w:rsidRDefault="00514E17" w:rsidP="00783176">
      <w:pPr>
        <w:pStyle w:val="BodyText"/>
        <w:rPr>
          <w:rFonts w:ascii="Calibri" w:hAnsi="Calibri"/>
        </w:rPr>
      </w:pPr>
      <w:r>
        <w:rPr>
          <w:rFonts w:ascii="Calibri" w:hAnsi="Calibri"/>
        </w:rPr>
        <w:t xml:space="preserve">Whilst intended for use by developing countries, SIRA has </w:t>
      </w:r>
      <w:r w:rsidR="00A202F1">
        <w:rPr>
          <w:rFonts w:ascii="Calibri" w:hAnsi="Calibri"/>
        </w:rPr>
        <w:t>a</w:t>
      </w:r>
      <w:r>
        <w:rPr>
          <w:rFonts w:ascii="Calibri" w:hAnsi="Calibri"/>
        </w:rPr>
        <w:t xml:space="preserve"> place </w:t>
      </w:r>
      <w:r w:rsidR="00036BCD">
        <w:rPr>
          <w:rFonts w:ascii="Calibri" w:hAnsi="Calibri"/>
        </w:rPr>
        <w:t xml:space="preserve">of use </w:t>
      </w:r>
      <w:r w:rsidR="00A202F1">
        <w:rPr>
          <w:rFonts w:ascii="Calibri" w:hAnsi="Calibri"/>
        </w:rPr>
        <w:t xml:space="preserve">by </w:t>
      </w:r>
      <w:r w:rsidR="00036BCD">
        <w:rPr>
          <w:rFonts w:ascii="Calibri" w:hAnsi="Calibri"/>
        </w:rPr>
        <w:t xml:space="preserve">all competent AtoN authorities </w:t>
      </w:r>
      <w:r>
        <w:rPr>
          <w:rFonts w:ascii="Calibri" w:hAnsi="Calibri"/>
        </w:rPr>
        <w:t>in the everyday assessment</w:t>
      </w:r>
      <w:r w:rsidR="00036BCD">
        <w:rPr>
          <w:rFonts w:ascii="Calibri" w:hAnsi="Calibri"/>
        </w:rPr>
        <w:t xml:space="preserve"> of risks associated with safe navigation</w:t>
      </w:r>
      <w:r>
        <w:rPr>
          <w:rFonts w:ascii="Calibri" w:hAnsi="Calibri"/>
        </w:rPr>
        <w:t xml:space="preserve">. </w:t>
      </w:r>
    </w:p>
    <w:p w:rsidR="00783176" w:rsidRDefault="00783176" w:rsidP="00783176">
      <w:pPr>
        <w:pStyle w:val="BodyText"/>
        <w:rPr>
          <w:rFonts w:ascii="Calibri" w:hAnsi="Calibri"/>
        </w:rPr>
      </w:pPr>
      <w:r>
        <w:rPr>
          <w:rFonts w:ascii="Calibri" w:hAnsi="Calibri"/>
        </w:rPr>
        <w:t>A</w:t>
      </w:r>
      <w:r w:rsidR="00A202F1">
        <w:rPr>
          <w:rFonts w:ascii="Calibri" w:hAnsi="Calibri"/>
        </w:rPr>
        <w:t xml:space="preserve">MSA </w:t>
      </w:r>
      <w:r>
        <w:rPr>
          <w:rFonts w:ascii="Calibri" w:hAnsi="Calibri"/>
        </w:rPr>
        <w:t xml:space="preserve">has used the SIRA process on a number of occasions for situations </w:t>
      </w:r>
      <w:r w:rsidR="00514E17">
        <w:rPr>
          <w:rFonts w:ascii="Calibri" w:hAnsi="Calibri"/>
        </w:rPr>
        <w:t>where a qualitative assessment was necessary, but PAWSA was deemed to</w:t>
      </w:r>
      <w:r w:rsidR="001E1CB2">
        <w:rPr>
          <w:rFonts w:ascii="Calibri" w:hAnsi="Calibri"/>
        </w:rPr>
        <w:t>o</w:t>
      </w:r>
      <w:r w:rsidR="00514E17">
        <w:rPr>
          <w:rFonts w:ascii="Calibri" w:hAnsi="Calibri"/>
        </w:rPr>
        <w:t xml:space="preserve"> </w:t>
      </w:r>
      <w:r w:rsidR="001E1CB2">
        <w:rPr>
          <w:rFonts w:ascii="Calibri" w:hAnsi="Calibri"/>
        </w:rPr>
        <w:t>resource intensive</w:t>
      </w:r>
      <w:r>
        <w:rPr>
          <w:rFonts w:ascii="Calibri" w:hAnsi="Calibri"/>
        </w:rPr>
        <w:t xml:space="preserve">. </w:t>
      </w:r>
      <w:r w:rsidR="00424649">
        <w:rPr>
          <w:rFonts w:ascii="Calibri" w:hAnsi="Calibri"/>
        </w:rPr>
        <w:t xml:space="preserve">Based on the </w:t>
      </w:r>
      <w:r w:rsidR="001E1CB2">
        <w:rPr>
          <w:rFonts w:ascii="Calibri" w:hAnsi="Calibri"/>
        </w:rPr>
        <w:t xml:space="preserve">risk assessment process from IALA Guideline </w:t>
      </w:r>
      <w:r w:rsidR="00424649">
        <w:rPr>
          <w:rFonts w:ascii="Calibri" w:hAnsi="Calibri"/>
        </w:rPr>
        <w:t xml:space="preserve">G1138, </w:t>
      </w:r>
      <w:r w:rsidR="005A2EBC">
        <w:rPr>
          <w:rFonts w:ascii="Calibri" w:hAnsi="Calibri"/>
        </w:rPr>
        <w:t>AMSA’s</w:t>
      </w:r>
      <w:r w:rsidR="001E1CB2">
        <w:rPr>
          <w:rFonts w:ascii="Calibri" w:hAnsi="Calibri"/>
        </w:rPr>
        <w:t xml:space="preserve"> approach has been to</w:t>
      </w:r>
      <w:r w:rsidR="00424649">
        <w:rPr>
          <w:rFonts w:ascii="Calibri" w:hAnsi="Calibri"/>
        </w:rPr>
        <w:t xml:space="preserve"> adapt the process to suit the specific challenges presented on each occasion. </w:t>
      </w:r>
    </w:p>
    <w:p w:rsidR="00A446C9" w:rsidRPr="007A395D" w:rsidRDefault="00A446C9" w:rsidP="00605E43">
      <w:pPr>
        <w:pStyle w:val="Heading1"/>
      </w:pPr>
      <w:r w:rsidRPr="007A395D">
        <w:t>Discussion</w:t>
      </w:r>
    </w:p>
    <w:p w:rsidR="00F25BF4" w:rsidRDefault="00C1575F" w:rsidP="00A446C9">
      <w:pPr>
        <w:pStyle w:val="BodyText"/>
        <w:rPr>
          <w:rFonts w:ascii="Calibri" w:hAnsi="Calibri"/>
        </w:rPr>
      </w:pPr>
      <w:r>
        <w:rPr>
          <w:rFonts w:ascii="Calibri" w:hAnsi="Calibri"/>
        </w:rPr>
        <w:t>The r</w:t>
      </w:r>
      <w:r w:rsidR="001E1CB2">
        <w:rPr>
          <w:rFonts w:ascii="Calibri" w:hAnsi="Calibri"/>
        </w:rPr>
        <w:t>isk assessment process in G1</w:t>
      </w:r>
      <w:r>
        <w:rPr>
          <w:rFonts w:ascii="Calibri" w:hAnsi="Calibri"/>
        </w:rPr>
        <w:t xml:space="preserve">138 </w:t>
      </w:r>
      <w:r w:rsidR="001E1CB2">
        <w:rPr>
          <w:rFonts w:ascii="Calibri" w:hAnsi="Calibri"/>
        </w:rPr>
        <w:t>is as follows:</w:t>
      </w:r>
    </w:p>
    <w:p w:rsidR="00C1575F" w:rsidRDefault="00C1575F" w:rsidP="00DE2859">
      <w:pPr>
        <w:pStyle w:val="BodyText"/>
        <w:numPr>
          <w:ilvl w:val="0"/>
          <w:numId w:val="20"/>
        </w:numPr>
        <w:rPr>
          <w:rFonts w:ascii="Calibri" w:hAnsi="Calibri"/>
        </w:rPr>
      </w:pPr>
      <w:r>
        <w:rPr>
          <w:rFonts w:ascii="Calibri" w:hAnsi="Calibri"/>
        </w:rPr>
        <w:t>Select the waterway to be analysed</w:t>
      </w:r>
      <w:r w:rsidR="001917A9">
        <w:rPr>
          <w:rFonts w:ascii="Calibri" w:hAnsi="Calibri"/>
        </w:rPr>
        <w:t>.</w:t>
      </w:r>
    </w:p>
    <w:p w:rsidR="00C1575F" w:rsidRDefault="00C1575F" w:rsidP="00DE2859">
      <w:pPr>
        <w:pStyle w:val="BodyText"/>
        <w:numPr>
          <w:ilvl w:val="0"/>
          <w:numId w:val="20"/>
        </w:numPr>
        <w:rPr>
          <w:rFonts w:ascii="Calibri" w:hAnsi="Calibri"/>
        </w:rPr>
      </w:pPr>
      <w:r>
        <w:rPr>
          <w:rFonts w:ascii="Calibri" w:hAnsi="Calibri"/>
        </w:rPr>
        <w:t>Define the assessment zones and describe each area</w:t>
      </w:r>
      <w:r w:rsidR="001917A9">
        <w:rPr>
          <w:rFonts w:ascii="Calibri" w:hAnsi="Calibri"/>
        </w:rPr>
        <w:t>.</w:t>
      </w:r>
    </w:p>
    <w:p w:rsidR="00C1575F" w:rsidRDefault="00C1575F" w:rsidP="00DE2859">
      <w:pPr>
        <w:pStyle w:val="BodyText"/>
        <w:numPr>
          <w:ilvl w:val="0"/>
          <w:numId w:val="20"/>
        </w:numPr>
        <w:rPr>
          <w:rFonts w:ascii="Calibri" w:hAnsi="Calibri"/>
        </w:rPr>
      </w:pPr>
      <w:r>
        <w:rPr>
          <w:rFonts w:ascii="Calibri" w:hAnsi="Calibri"/>
        </w:rPr>
        <w:t>Identify the hazards within each zone and develop scenarios</w:t>
      </w:r>
      <w:r w:rsidR="001917A9">
        <w:rPr>
          <w:rFonts w:ascii="Calibri" w:hAnsi="Calibri"/>
        </w:rPr>
        <w:t>.</w:t>
      </w:r>
    </w:p>
    <w:p w:rsidR="00C1575F" w:rsidRDefault="00C1575F" w:rsidP="00DE2859">
      <w:pPr>
        <w:pStyle w:val="BodyText"/>
        <w:numPr>
          <w:ilvl w:val="0"/>
          <w:numId w:val="20"/>
        </w:numPr>
        <w:rPr>
          <w:rFonts w:ascii="Calibri" w:hAnsi="Calibri"/>
        </w:rPr>
      </w:pPr>
      <w:r>
        <w:rPr>
          <w:rFonts w:ascii="Calibri" w:hAnsi="Calibri"/>
        </w:rPr>
        <w:t>Assess the probability and impact of each scenario</w:t>
      </w:r>
      <w:r w:rsidR="001917A9">
        <w:rPr>
          <w:rFonts w:ascii="Calibri" w:hAnsi="Calibri"/>
        </w:rPr>
        <w:t>.</w:t>
      </w:r>
    </w:p>
    <w:p w:rsidR="00C1575F" w:rsidRDefault="00C1575F" w:rsidP="00DE2859">
      <w:pPr>
        <w:pStyle w:val="BodyText"/>
        <w:numPr>
          <w:ilvl w:val="0"/>
          <w:numId w:val="20"/>
        </w:numPr>
        <w:rPr>
          <w:rFonts w:ascii="Calibri" w:hAnsi="Calibri"/>
        </w:rPr>
      </w:pPr>
      <w:r>
        <w:rPr>
          <w:rFonts w:ascii="Calibri" w:hAnsi="Calibri"/>
        </w:rPr>
        <w:t>Produce a comprehensive report of the risk assessment</w:t>
      </w:r>
      <w:r w:rsidR="001917A9">
        <w:rPr>
          <w:rFonts w:ascii="Calibri" w:hAnsi="Calibri"/>
        </w:rPr>
        <w:t>.</w:t>
      </w:r>
    </w:p>
    <w:p w:rsidR="00C1575F" w:rsidRDefault="00C1575F" w:rsidP="00DE2859">
      <w:pPr>
        <w:pStyle w:val="BodyText"/>
        <w:numPr>
          <w:ilvl w:val="0"/>
          <w:numId w:val="20"/>
        </w:numPr>
        <w:rPr>
          <w:rFonts w:ascii="Calibri" w:hAnsi="Calibri"/>
        </w:rPr>
      </w:pPr>
      <w:r>
        <w:rPr>
          <w:rFonts w:ascii="Calibri" w:hAnsi="Calibri"/>
        </w:rPr>
        <w:t>Communicate result to decision makers</w:t>
      </w:r>
      <w:r w:rsidR="001917A9">
        <w:rPr>
          <w:rFonts w:ascii="Calibri" w:hAnsi="Calibri"/>
        </w:rPr>
        <w:t>.</w:t>
      </w:r>
    </w:p>
    <w:p w:rsidR="00C1575F" w:rsidRDefault="00036BCD" w:rsidP="00036BCD">
      <w:pPr>
        <w:pStyle w:val="BodyText"/>
        <w:rPr>
          <w:rFonts w:ascii="Calibri" w:hAnsi="Calibri"/>
        </w:rPr>
      </w:pPr>
      <w:r>
        <w:rPr>
          <w:rFonts w:ascii="Calibri" w:hAnsi="Calibri"/>
        </w:rPr>
        <w:t xml:space="preserve">The above process has been the basis of risk assessments conducted by </w:t>
      </w:r>
      <w:r w:rsidR="00A202F1">
        <w:rPr>
          <w:rFonts w:ascii="Calibri" w:hAnsi="Calibri"/>
        </w:rPr>
        <w:t>AMSA</w:t>
      </w:r>
      <w:r>
        <w:rPr>
          <w:rFonts w:ascii="Calibri" w:hAnsi="Calibri"/>
        </w:rPr>
        <w:t>, however the general structure of a risk assessment has been amended to include the following:</w:t>
      </w:r>
    </w:p>
    <w:p w:rsidR="00036BCD" w:rsidRDefault="00036BCD" w:rsidP="00DE2859">
      <w:pPr>
        <w:pStyle w:val="BodyText"/>
        <w:numPr>
          <w:ilvl w:val="0"/>
          <w:numId w:val="21"/>
        </w:numPr>
        <w:rPr>
          <w:rFonts w:ascii="Calibri" w:hAnsi="Calibri"/>
        </w:rPr>
      </w:pPr>
      <w:r>
        <w:rPr>
          <w:rFonts w:ascii="Calibri" w:hAnsi="Calibri"/>
        </w:rPr>
        <w:t>An executive summary, covering the main points and recommendations of the assessment,</w:t>
      </w:r>
    </w:p>
    <w:p w:rsidR="00873858" w:rsidRDefault="007B5789" w:rsidP="00DE2859">
      <w:pPr>
        <w:pStyle w:val="BodyText"/>
        <w:numPr>
          <w:ilvl w:val="0"/>
          <w:numId w:val="21"/>
        </w:numPr>
        <w:rPr>
          <w:rFonts w:ascii="Calibri" w:hAnsi="Calibri"/>
        </w:rPr>
      </w:pPr>
      <w:r>
        <w:rPr>
          <w:rFonts w:ascii="Calibri" w:hAnsi="Calibri"/>
        </w:rPr>
        <w:t xml:space="preserve">Area of interest – a description of the area of interest, </w:t>
      </w:r>
      <w:r w:rsidR="00817556">
        <w:rPr>
          <w:rFonts w:ascii="Calibri" w:hAnsi="Calibri"/>
        </w:rPr>
        <w:t xml:space="preserve">hydrographic data, </w:t>
      </w:r>
      <w:r>
        <w:rPr>
          <w:rFonts w:ascii="Calibri" w:hAnsi="Calibri"/>
        </w:rPr>
        <w:t>environmental and meteorological conditions</w:t>
      </w:r>
      <w:r w:rsidR="00817556">
        <w:rPr>
          <w:rFonts w:ascii="Calibri" w:hAnsi="Calibri"/>
        </w:rPr>
        <w:t>.</w:t>
      </w:r>
    </w:p>
    <w:p w:rsidR="007B5789" w:rsidRDefault="00873858" w:rsidP="00DE2859">
      <w:pPr>
        <w:pStyle w:val="BodyText"/>
        <w:numPr>
          <w:ilvl w:val="0"/>
          <w:numId w:val="21"/>
        </w:numPr>
        <w:rPr>
          <w:rFonts w:ascii="Calibri" w:hAnsi="Calibri"/>
        </w:rPr>
      </w:pPr>
      <w:r>
        <w:rPr>
          <w:rFonts w:ascii="Calibri" w:hAnsi="Calibri"/>
        </w:rPr>
        <w:t xml:space="preserve">Identification of Hazards – an analysis </w:t>
      </w:r>
      <w:r w:rsidR="00817556">
        <w:rPr>
          <w:rFonts w:ascii="Calibri" w:hAnsi="Calibri"/>
        </w:rPr>
        <w:t xml:space="preserve">and identification </w:t>
      </w:r>
      <w:r>
        <w:rPr>
          <w:rFonts w:ascii="Calibri" w:hAnsi="Calibri"/>
        </w:rPr>
        <w:t>of hazards to navigation.</w:t>
      </w:r>
    </w:p>
    <w:p w:rsidR="00873858" w:rsidRDefault="00873858" w:rsidP="00DE2859">
      <w:pPr>
        <w:pStyle w:val="BodyText"/>
        <w:numPr>
          <w:ilvl w:val="0"/>
          <w:numId w:val="21"/>
        </w:numPr>
        <w:rPr>
          <w:rFonts w:ascii="Calibri" w:hAnsi="Calibri"/>
        </w:rPr>
      </w:pPr>
      <w:r>
        <w:rPr>
          <w:rFonts w:ascii="Calibri" w:hAnsi="Calibri"/>
        </w:rPr>
        <w:t xml:space="preserve">Summary of existing risk controls – an assessment of </w:t>
      </w:r>
      <w:r w:rsidR="00817556">
        <w:rPr>
          <w:rFonts w:ascii="Calibri" w:hAnsi="Calibri"/>
        </w:rPr>
        <w:t xml:space="preserve">the </w:t>
      </w:r>
      <w:r>
        <w:rPr>
          <w:rFonts w:ascii="Calibri" w:hAnsi="Calibri"/>
        </w:rPr>
        <w:t>systems that support safe navigation. This assessment can include aids and services to navigation, routeing measures</w:t>
      </w:r>
      <w:r w:rsidR="004E4601">
        <w:rPr>
          <w:rFonts w:ascii="Calibri" w:hAnsi="Calibri"/>
        </w:rPr>
        <w:t xml:space="preserve">, vessel traffic services, </w:t>
      </w:r>
      <w:r w:rsidR="00817556">
        <w:rPr>
          <w:rFonts w:ascii="Calibri" w:hAnsi="Calibri"/>
        </w:rPr>
        <w:t xml:space="preserve">shipborne systems, navigation resources </w:t>
      </w:r>
      <w:r w:rsidR="004E4601">
        <w:rPr>
          <w:rFonts w:ascii="Calibri" w:hAnsi="Calibri"/>
        </w:rPr>
        <w:t xml:space="preserve">and </w:t>
      </w:r>
      <w:r w:rsidR="00817556">
        <w:rPr>
          <w:rFonts w:ascii="Calibri" w:hAnsi="Calibri"/>
        </w:rPr>
        <w:t>pilotage.</w:t>
      </w:r>
    </w:p>
    <w:p w:rsidR="00437A0D" w:rsidRDefault="00817556" w:rsidP="00DE2859">
      <w:pPr>
        <w:pStyle w:val="BodyText"/>
        <w:numPr>
          <w:ilvl w:val="0"/>
          <w:numId w:val="21"/>
        </w:numPr>
        <w:rPr>
          <w:rFonts w:ascii="Calibri" w:hAnsi="Calibri"/>
        </w:rPr>
      </w:pPr>
      <w:r>
        <w:rPr>
          <w:rFonts w:ascii="Calibri" w:hAnsi="Calibri"/>
        </w:rPr>
        <w:t>Assessment of the probability and impact for specific situations –</w:t>
      </w:r>
      <w:r w:rsidR="002B32A1" w:rsidRPr="002B32A1">
        <w:rPr>
          <w:rFonts w:ascii="Calibri" w:hAnsi="Calibri"/>
        </w:rPr>
        <w:t xml:space="preserve"> </w:t>
      </w:r>
      <w:r w:rsidR="002B32A1">
        <w:rPr>
          <w:rFonts w:ascii="Calibri" w:hAnsi="Calibri"/>
        </w:rPr>
        <w:t>A</w:t>
      </w:r>
      <w:r w:rsidR="00A202F1">
        <w:rPr>
          <w:rFonts w:ascii="Calibri" w:hAnsi="Calibri"/>
        </w:rPr>
        <w:t>MSA</w:t>
      </w:r>
      <w:r w:rsidR="002B32A1">
        <w:rPr>
          <w:rFonts w:ascii="Calibri" w:hAnsi="Calibri"/>
        </w:rPr>
        <w:t xml:space="preserve"> uses the </w:t>
      </w:r>
      <w:r w:rsidR="00467228">
        <w:rPr>
          <w:rFonts w:ascii="Calibri" w:hAnsi="Calibri"/>
        </w:rPr>
        <w:t xml:space="preserve">risk assessment matrix and risk value matrix in </w:t>
      </w:r>
      <w:r w:rsidR="002B32A1">
        <w:rPr>
          <w:rFonts w:ascii="Calibri" w:hAnsi="Calibri"/>
        </w:rPr>
        <w:t>G1138 for recording of the risk assessment</w:t>
      </w:r>
      <w:r w:rsidR="00467228">
        <w:rPr>
          <w:rFonts w:ascii="Calibri" w:hAnsi="Calibri"/>
        </w:rPr>
        <w:t xml:space="preserve">. Due to the </w:t>
      </w:r>
      <w:r w:rsidR="00467228" w:rsidRPr="00467228">
        <w:rPr>
          <w:rFonts w:ascii="Calibri" w:hAnsi="Calibri"/>
        </w:rPr>
        <w:t>organisations risk management policy</w:t>
      </w:r>
      <w:r w:rsidR="00467228">
        <w:rPr>
          <w:rFonts w:ascii="Calibri" w:hAnsi="Calibri"/>
        </w:rPr>
        <w:t xml:space="preserve">, </w:t>
      </w:r>
      <w:r w:rsidR="00A54CF7">
        <w:rPr>
          <w:rFonts w:ascii="Calibri" w:hAnsi="Calibri"/>
        </w:rPr>
        <w:t xml:space="preserve">and in line with international risk assessment standards, </w:t>
      </w:r>
      <w:r w:rsidR="00467228">
        <w:rPr>
          <w:rFonts w:ascii="Calibri" w:hAnsi="Calibri"/>
        </w:rPr>
        <w:t>A</w:t>
      </w:r>
      <w:r w:rsidR="00A202F1">
        <w:rPr>
          <w:rFonts w:ascii="Calibri" w:hAnsi="Calibri"/>
        </w:rPr>
        <w:t>MSA</w:t>
      </w:r>
      <w:r w:rsidR="00467228">
        <w:rPr>
          <w:rFonts w:ascii="Calibri" w:hAnsi="Calibri"/>
        </w:rPr>
        <w:t xml:space="preserve"> </w:t>
      </w:r>
      <w:r w:rsidR="002B32A1" w:rsidRPr="00467228">
        <w:rPr>
          <w:rFonts w:ascii="Calibri" w:hAnsi="Calibri"/>
        </w:rPr>
        <w:t xml:space="preserve">uses the terminology </w:t>
      </w:r>
      <w:r w:rsidR="00467228" w:rsidRPr="00467228">
        <w:rPr>
          <w:rFonts w:ascii="Calibri" w:hAnsi="Calibri"/>
        </w:rPr>
        <w:t>‘</w:t>
      </w:r>
      <w:r w:rsidR="002B32A1" w:rsidRPr="00467228">
        <w:rPr>
          <w:rFonts w:ascii="Calibri" w:hAnsi="Calibri"/>
        </w:rPr>
        <w:t>likelihood and consequence</w:t>
      </w:r>
      <w:r w:rsidR="00467228" w:rsidRPr="00467228">
        <w:rPr>
          <w:rFonts w:ascii="Calibri" w:hAnsi="Calibri"/>
        </w:rPr>
        <w:t>’</w:t>
      </w:r>
      <w:r w:rsidR="002B32A1" w:rsidRPr="00467228">
        <w:rPr>
          <w:rFonts w:ascii="Calibri" w:hAnsi="Calibri"/>
        </w:rPr>
        <w:t xml:space="preserve">. </w:t>
      </w:r>
    </w:p>
    <w:p w:rsidR="00467228" w:rsidRPr="00467228" w:rsidRDefault="00437A0D" w:rsidP="00DE2859">
      <w:pPr>
        <w:pStyle w:val="BodyText"/>
        <w:numPr>
          <w:ilvl w:val="0"/>
          <w:numId w:val="21"/>
        </w:numPr>
        <w:rPr>
          <w:rFonts w:ascii="Calibri" w:hAnsi="Calibri"/>
        </w:rPr>
      </w:pPr>
      <w:r>
        <w:rPr>
          <w:rFonts w:ascii="Calibri" w:hAnsi="Calibri"/>
        </w:rPr>
        <w:t xml:space="preserve">Residual Risk – AMSA considers that it is important </w:t>
      </w:r>
      <w:r w:rsidR="00E07085">
        <w:rPr>
          <w:rFonts w:ascii="Calibri" w:hAnsi="Calibri"/>
        </w:rPr>
        <w:t xml:space="preserve">for decision makers </w:t>
      </w:r>
      <w:r>
        <w:rPr>
          <w:rFonts w:ascii="Calibri" w:hAnsi="Calibri"/>
        </w:rPr>
        <w:t xml:space="preserve">to </w:t>
      </w:r>
      <w:r w:rsidR="00E07085">
        <w:rPr>
          <w:rFonts w:ascii="Calibri" w:hAnsi="Calibri"/>
        </w:rPr>
        <w:t xml:space="preserve">be </w:t>
      </w:r>
      <w:r>
        <w:rPr>
          <w:rFonts w:ascii="Calibri" w:hAnsi="Calibri"/>
        </w:rPr>
        <w:t>provide</w:t>
      </w:r>
      <w:r w:rsidR="00E07085">
        <w:rPr>
          <w:rFonts w:ascii="Calibri" w:hAnsi="Calibri"/>
        </w:rPr>
        <w:t>d</w:t>
      </w:r>
      <w:r>
        <w:rPr>
          <w:rFonts w:ascii="Calibri" w:hAnsi="Calibri"/>
        </w:rPr>
        <w:t xml:space="preserve"> </w:t>
      </w:r>
      <w:r w:rsidR="00E07085">
        <w:rPr>
          <w:rFonts w:ascii="Calibri" w:hAnsi="Calibri"/>
        </w:rPr>
        <w:t xml:space="preserve">with </w:t>
      </w:r>
      <w:r>
        <w:rPr>
          <w:rFonts w:ascii="Calibri" w:hAnsi="Calibri"/>
        </w:rPr>
        <w:t>an</w:t>
      </w:r>
      <w:r w:rsidR="00E07085">
        <w:rPr>
          <w:rFonts w:ascii="Calibri" w:hAnsi="Calibri"/>
        </w:rPr>
        <w:t xml:space="preserve"> assessment of what the risk would be once a risk control measure has been implemented.  This is known as the ‘Residual Risk’. </w:t>
      </w:r>
      <w:r w:rsidR="002B32A1" w:rsidRPr="00467228">
        <w:rPr>
          <w:rFonts w:ascii="Calibri" w:hAnsi="Calibri"/>
        </w:rPr>
        <w:t>A</w:t>
      </w:r>
      <w:r w:rsidR="00A202F1">
        <w:rPr>
          <w:rFonts w:ascii="Calibri" w:hAnsi="Calibri"/>
        </w:rPr>
        <w:t>MSA</w:t>
      </w:r>
      <w:r w:rsidR="002B32A1" w:rsidRPr="00467228">
        <w:rPr>
          <w:rFonts w:ascii="Calibri" w:hAnsi="Calibri"/>
        </w:rPr>
        <w:t xml:space="preserve"> include</w:t>
      </w:r>
      <w:r w:rsidR="00E07085">
        <w:rPr>
          <w:rFonts w:ascii="Calibri" w:hAnsi="Calibri"/>
        </w:rPr>
        <w:t>s</w:t>
      </w:r>
      <w:r w:rsidR="002B32A1" w:rsidRPr="00467228">
        <w:rPr>
          <w:rFonts w:ascii="Calibri" w:hAnsi="Calibri"/>
        </w:rPr>
        <w:t xml:space="preserve"> a residual risk assessment</w:t>
      </w:r>
      <w:r w:rsidR="00E07085">
        <w:rPr>
          <w:rFonts w:ascii="Calibri" w:hAnsi="Calibri"/>
        </w:rPr>
        <w:t>,</w:t>
      </w:r>
      <w:r w:rsidR="002B32A1" w:rsidRPr="00467228">
        <w:rPr>
          <w:rFonts w:ascii="Calibri" w:hAnsi="Calibri"/>
        </w:rPr>
        <w:t xml:space="preserve"> based on the implementation </w:t>
      </w:r>
      <w:r w:rsidR="00467228" w:rsidRPr="00467228">
        <w:rPr>
          <w:rFonts w:ascii="Calibri" w:hAnsi="Calibri"/>
        </w:rPr>
        <w:t>of the proposed risk controls</w:t>
      </w:r>
      <w:r w:rsidR="00E07085">
        <w:rPr>
          <w:rFonts w:ascii="Calibri" w:hAnsi="Calibri"/>
        </w:rPr>
        <w:t>, in the risk assessment table</w:t>
      </w:r>
      <w:r w:rsidR="00467228" w:rsidRPr="00467228">
        <w:rPr>
          <w:rFonts w:ascii="Calibri" w:hAnsi="Calibri"/>
        </w:rPr>
        <w:t xml:space="preserve">. </w:t>
      </w:r>
      <w:r w:rsidR="00E07085">
        <w:rPr>
          <w:rFonts w:ascii="Calibri" w:hAnsi="Calibri"/>
        </w:rPr>
        <w:t xml:space="preserve">Residual risks of high or above are usually considered unacceptable and further steps are necessary to reduce the risk. </w:t>
      </w:r>
    </w:p>
    <w:p w:rsidR="00467228" w:rsidRDefault="00467228" w:rsidP="00DE2859">
      <w:pPr>
        <w:pStyle w:val="BodyText"/>
        <w:numPr>
          <w:ilvl w:val="0"/>
          <w:numId w:val="21"/>
        </w:numPr>
        <w:rPr>
          <w:rFonts w:ascii="Calibri" w:hAnsi="Calibri"/>
        </w:rPr>
      </w:pPr>
      <w:r>
        <w:rPr>
          <w:rFonts w:ascii="Calibri" w:hAnsi="Calibri"/>
        </w:rPr>
        <w:t xml:space="preserve">Conclusion – Based on the tabled </w:t>
      </w:r>
      <w:r w:rsidR="002471BE">
        <w:rPr>
          <w:rFonts w:ascii="Calibri" w:hAnsi="Calibri"/>
        </w:rPr>
        <w:t xml:space="preserve">assessment, a set of recommendations. An executive summary may also be of benefit. </w:t>
      </w:r>
    </w:p>
    <w:p w:rsidR="002471BE" w:rsidRDefault="00036BCD" w:rsidP="002471BE">
      <w:pPr>
        <w:pStyle w:val="BodyText"/>
        <w:rPr>
          <w:rFonts w:ascii="Calibri" w:hAnsi="Calibri"/>
        </w:rPr>
      </w:pPr>
      <w:r>
        <w:rPr>
          <w:rFonts w:ascii="Calibri" w:hAnsi="Calibri"/>
        </w:rPr>
        <w:t>The</w:t>
      </w:r>
      <w:r w:rsidR="002471BE">
        <w:rPr>
          <w:rFonts w:ascii="Calibri" w:hAnsi="Calibri"/>
        </w:rPr>
        <w:t xml:space="preserve"> template </w:t>
      </w:r>
      <w:r>
        <w:rPr>
          <w:rFonts w:ascii="Calibri" w:hAnsi="Calibri"/>
        </w:rPr>
        <w:t>used by A</w:t>
      </w:r>
      <w:r w:rsidR="00A202F1">
        <w:rPr>
          <w:rFonts w:ascii="Calibri" w:hAnsi="Calibri"/>
        </w:rPr>
        <w:t>MSA</w:t>
      </w:r>
      <w:r>
        <w:rPr>
          <w:rFonts w:ascii="Calibri" w:hAnsi="Calibri"/>
        </w:rPr>
        <w:t xml:space="preserve"> </w:t>
      </w:r>
      <w:r w:rsidR="00AC594F">
        <w:rPr>
          <w:rFonts w:ascii="Calibri" w:hAnsi="Calibri"/>
        </w:rPr>
        <w:t xml:space="preserve">is based on the information provided in </w:t>
      </w:r>
      <w:r w:rsidR="00612403">
        <w:rPr>
          <w:rFonts w:ascii="Calibri" w:hAnsi="Calibri"/>
        </w:rPr>
        <w:t xml:space="preserve">IALA Guideline </w:t>
      </w:r>
      <w:proofErr w:type="gramStart"/>
      <w:r w:rsidR="00AC594F">
        <w:rPr>
          <w:rFonts w:ascii="Calibri" w:hAnsi="Calibri"/>
        </w:rPr>
        <w:t>G1138, but</w:t>
      </w:r>
      <w:proofErr w:type="gramEnd"/>
      <w:r w:rsidR="00AC594F">
        <w:rPr>
          <w:rFonts w:ascii="Calibri" w:hAnsi="Calibri"/>
        </w:rPr>
        <w:t xml:space="preserve"> includes amendments</w:t>
      </w:r>
      <w:r w:rsidR="00612403">
        <w:rPr>
          <w:rFonts w:ascii="Calibri" w:hAnsi="Calibri"/>
        </w:rPr>
        <w:t xml:space="preserve"> to suit the specific </w:t>
      </w:r>
      <w:r w:rsidR="00A202F1">
        <w:rPr>
          <w:rFonts w:ascii="Calibri" w:hAnsi="Calibri"/>
        </w:rPr>
        <w:t>circumstances</w:t>
      </w:r>
      <w:r w:rsidR="004F2266">
        <w:rPr>
          <w:rFonts w:ascii="Calibri" w:hAnsi="Calibri"/>
        </w:rPr>
        <w:t xml:space="preserve"> and improve the resultant assessment</w:t>
      </w:r>
      <w:r w:rsidR="00A202F1">
        <w:rPr>
          <w:rFonts w:ascii="Calibri" w:hAnsi="Calibri"/>
        </w:rPr>
        <w:t xml:space="preserve">. </w:t>
      </w:r>
      <w:r w:rsidR="00AC594F">
        <w:rPr>
          <w:rFonts w:ascii="Calibri" w:hAnsi="Calibri"/>
        </w:rPr>
        <w:t xml:space="preserve"> The template </w:t>
      </w:r>
      <w:r>
        <w:rPr>
          <w:rFonts w:ascii="Calibri" w:hAnsi="Calibri"/>
        </w:rPr>
        <w:t xml:space="preserve">is </w:t>
      </w:r>
      <w:r w:rsidR="002471BE">
        <w:rPr>
          <w:rFonts w:ascii="Calibri" w:hAnsi="Calibri"/>
        </w:rPr>
        <w:t xml:space="preserve">included at </w:t>
      </w:r>
      <w:r w:rsidR="002471BE" w:rsidRPr="00467228">
        <w:rPr>
          <w:rFonts w:ascii="Calibri" w:hAnsi="Calibri"/>
        </w:rPr>
        <w:t xml:space="preserve">Annex </w:t>
      </w:r>
      <w:r w:rsidR="00AC594F">
        <w:rPr>
          <w:rFonts w:ascii="Calibri" w:hAnsi="Calibri"/>
        </w:rPr>
        <w:t>1.</w:t>
      </w:r>
    </w:p>
    <w:p w:rsidR="00180DDA" w:rsidRPr="007A395D" w:rsidRDefault="00180DDA" w:rsidP="00605E43">
      <w:pPr>
        <w:pStyle w:val="Heading1"/>
      </w:pPr>
      <w:r w:rsidRPr="007A395D">
        <w:lastRenderedPageBreak/>
        <w:t>References</w:t>
      </w:r>
    </w:p>
    <w:p w:rsidR="00467228" w:rsidRDefault="00424649" w:rsidP="00467228">
      <w:pPr>
        <w:pStyle w:val="Heading1"/>
        <w:numPr>
          <w:ilvl w:val="0"/>
          <w:numId w:val="0"/>
        </w:numPr>
        <w:rPr>
          <w:b w:val="0"/>
          <w:caps w:val="0"/>
          <w:color w:val="auto"/>
          <w:kern w:val="0"/>
          <w:sz w:val="22"/>
          <w:szCs w:val="20"/>
          <w:lang w:eastAsia="en-GB"/>
        </w:rPr>
      </w:pPr>
      <w:r w:rsidRPr="00424649">
        <w:rPr>
          <w:b w:val="0"/>
          <w:caps w:val="0"/>
          <w:color w:val="auto"/>
          <w:kern w:val="0"/>
          <w:sz w:val="22"/>
          <w:szCs w:val="20"/>
          <w:lang w:eastAsia="en-GB"/>
        </w:rPr>
        <w:t>IALA Guidelines G1138 – The use of the Simplified IALA</w:t>
      </w:r>
      <w:r w:rsidR="00467228">
        <w:rPr>
          <w:b w:val="0"/>
          <w:caps w:val="0"/>
          <w:color w:val="auto"/>
          <w:kern w:val="0"/>
          <w:sz w:val="22"/>
          <w:szCs w:val="20"/>
          <w:lang w:eastAsia="en-GB"/>
        </w:rPr>
        <w:t xml:space="preserve"> Risk Assessment Method (SIRA)</w:t>
      </w:r>
      <w:r w:rsidR="00E07085">
        <w:rPr>
          <w:b w:val="0"/>
          <w:caps w:val="0"/>
          <w:color w:val="auto"/>
          <w:kern w:val="0"/>
          <w:sz w:val="22"/>
          <w:szCs w:val="20"/>
          <w:lang w:eastAsia="en-GB"/>
        </w:rPr>
        <w:t>.</w:t>
      </w:r>
    </w:p>
    <w:p w:rsidR="00467228" w:rsidRPr="007A395D" w:rsidRDefault="00467228" w:rsidP="00467228">
      <w:pPr>
        <w:pStyle w:val="Heading1"/>
      </w:pPr>
      <w:r>
        <w:t>annexes</w:t>
      </w:r>
    </w:p>
    <w:p w:rsidR="004F2266" w:rsidRDefault="00467228" w:rsidP="00E07085">
      <w:pPr>
        <w:pStyle w:val="Heading1"/>
        <w:numPr>
          <w:ilvl w:val="0"/>
          <w:numId w:val="0"/>
        </w:numPr>
      </w:pPr>
      <w:r w:rsidRPr="00467228">
        <w:rPr>
          <w:b w:val="0"/>
          <w:caps w:val="0"/>
          <w:color w:val="auto"/>
          <w:kern w:val="0"/>
          <w:sz w:val="22"/>
          <w:szCs w:val="20"/>
          <w:lang w:eastAsia="en-GB"/>
        </w:rPr>
        <w:t xml:space="preserve">Annex 1 – </w:t>
      </w:r>
      <w:r w:rsidR="00AC594F">
        <w:rPr>
          <w:b w:val="0"/>
          <w:caps w:val="0"/>
          <w:color w:val="auto"/>
          <w:kern w:val="0"/>
          <w:sz w:val="22"/>
          <w:szCs w:val="20"/>
          <w:lang w:eastAsia="en-GB"/>
        </w:rPr>
        <w:t>Simplified Risk Assessment Template used by Australia</w:t>
      </w:r>
      <w:r w:rsidR="00E07085">
        <w:rPr>
          <w:b w:val="0"/>
          <w:caps w:val="0"/>
          <w:color w:val="auto"/>
          <w:kern w:val="0"/>
          <w:sz w:val="22"/>
          <w:szCs w:val="20"/>
          <w:lang w:eastAsia="en-GB"/>
        </w:rPr>
        <w:t>.</w:t>
      </w:r>
    </w:p>
    <w:p w:rsidR="00A446C9" w:rsidRPr="007A395D" w:rsidRDefault="00A446C9" w:rsidP="00424649">
      <w:pPr>
        <w:pStyle w:val="Heading1"/>
      </w:pPr>
      <w:r w:rsidRPr="007A395D">
        <w:t>Action requested of the Committee</w:t>
      </w:r>
    </w:p>
    <w:p w:rsidR="00F25BF4" w:rsidRPr="007A395D" w:rsidRDefault="00F25BF4" w:rsidP="00A446C9">
      <w:pPr>
        <w:pStyle w:val="BodyText"/>
        <w:rPr>
          <w:rFonts w:ascii="Calibri" w:hAnsi="Calibri"/>
        </w:rPr>
      </w:pPr>
      <w:r w:rsidRPr="007A395D">
        <w:rPr>
          <w:rFonts w:ascii="Calibri" w:hAnsi="Calibri"/>
        </w:rPr>
        <w:t>The Commit</w:t>
      </w:r>
      <w:r w:rsidR="00424649">
        <w:rPr>
          <w:rFonts w:ascii="Calibri" w:hAnsi="Calibri"/>
        </w:rPr>
        <w:t>tee is requested to:</w:t>
      </w:r>
    </w:p>
    <w:p w:rsidR="004F2266" w:rsidRDefault="00A202F1" w:rsidP="00DE2859">
      <w:pPr>
        <w:pStyle w:val="List1"/>
        <w:numPr>
          <w:ilvl w:val="0"/>
          <w:numId w:val="16"/>
        </w:numPr>
        <w:rPr>
          <w:rFonts w:ascii="Calibri" w:hAnsi="Calibri"/>
        </w:rPr>
      </w:pPr>
      <w:r>
        <w:rPr>
          <w:rFonts w:ascii="Calibri" w:hAnsi="Calibri"/>
        </w:rPr>
        <w:t>N</w:t>
      </w:r>
      <w:r w:rsidR="00424649">
        <w:rPr>
          <w:rFonts w:ascii="Calibri" w:hAnsi="Calibri"/>
        </w:rPr>
        <w:t xml:space="preserve">ote the </w:t>
      </w:r>
      <w:r w:rsidR="00441BE3">
        <w:rPr>
          <w:rFonts w:ascii="Calibri" w:hAnsi="Calibri"/>
        </w:rPr>
        <w:t>information provided</w:t>
      </w:r>
      <w:r w:rsidR="004F2266">
        <w:rPr>
          <w:rFonts w:ascii="Calibri" w:hAnsi="Calibri"/>
        </w:rPr>
        <w:t xml:space="preserve">, </w:t>
      </w:r>
      <w:r>
        <w:rPr>
          <w:rFonts w:ascii="Calibri" w:hAnsi="Calibri"/>
        </w:rPr>
        <w:t xml:space="preserve">and </w:t>
      </w:r>
    </w:p>
    <w:p w:rsidR="00F25BF4" w:rsidRPr="007A395D" w:rsidRDefault="00A202F1" w:rsidP="00DE2859">
      <w:pPr>
        <w:pStyle w:val="List1"/>
        <w:numPr>
          <w:ilvl w:val="0"/>
          <w:numId w:val="16"/>
        </w:numPr>
        <w:rPr>
          <w:rFonts w:ascii="Calibri" w:hAnsi="Calibri"/>
        </w:rPr>
      </w:pPr>
      <w:r>
        <w:rPr>
          <w:rFonts w:ascii="Calibri" w:hAnsi="Calibri"/>
        </w:rPr>
        <w:t xml:space="preserve">consider the merits of amending G1138 </w:t>
      </w:r>
      <w:r w:rsidR="004F2266">
        <w:rPr>
          <w:rFonts w:ascii="Calibri" w:hAnsi="Calibri"/>
        </w:rPr>
        <w:t>based on</w:t>
      </w:r>
      <w:r>
        <w:rPr>
          <w:rFonts w:ascii="Calibri" w:hAnsi="Calibri"/>
        </w:rPr>
        <w:t xml:space="preserve"> the information provided</w:t>
      </w:r>
      <w:r w:rsidR="00424649">
        <w:rPr>
          <w:rFonts w:ascii="Calibri" w:hAnsi="Calibri"/>
        </w:rPr>
        <w:t xml:space="preserve">. </w:t>
      </w:r>
    </w:p>
    <w:p w:rsidR="004D1D85" w:rsidRPr="007A395D" w:rsidRDefault="004D1D85" w:rsidP="004D1D85">
      <w:pPr>
        <w:pStyle w:val="List1"/>
        <w:numPr>
          <w:ilvl w:val="0"/>
          <w:numId w:val="0"/>
        </w:numPr>
        <w:ind w:left="567" w:hanging="567"/>
        <w:rPr>
          <w:rFonts w:ascii="Calibri" w:hAnsi="Calibri"/>
        </w:rPr>
      </w:pPr>
    </w:p>
    <w:p w:rsidR="004D1D85" w:rsidRPr="007A395D" w:rsidRDefault="004D1D85" w:rsidP="004D1D85">
      <w:pPr>
        <w:pStyle w:val="List1"/>
        <w:numPr>
          <w:ilvl w:val="0"/>
          <w:numId w:val="0"/>
        </w:numPr>
        <w:ind w:left="567" w:hanging="567"/>
        <w:rPr>
          <w:rFonts w:ascii="Calibri" w:hAnsi="Calibri"/>
        </w:rPr>
      </w:pPr>
    </w:p>
    <w:p w:rsidR="004D1D85" w:rsidRPr="007A395D" w:rsidRDefault="004D1D85" w:rsidP="0085001A">
      <w:pPr>
        <w:pStyle w:val="Annex"/>
        <w:numPr>
          <w:ilvl w:val="0"/>
          <w:numId w:val="0"/>
        </w:numPr>
        <w:ind w:left="360"/>
        <w:sectPr w:rsidR="004D1D85" w:rsidRPr="007A395D" w:rsidSect="007A395D">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pPr>
    </w:p>
    <w:p w:rsidR="000005D3" w:rsidRDefault="000005D3" w:rsidP="00612403">
      <w:pPr>
        <w:pStyle w:val="AnnexHeading1"/>
        <w:rPr>
          <w:rFonts w:ascii="Calibri" w:hAnsi="Calibri"/>
          <w:color w:val="4F81BD" w:themeColor="accent1"/>
        </w:rPr>
      </w:pPr>
      <w:r w:rsidRPr="007A395D">
        <w:rPr>
          <w:rFonts w:ascii="Calibri" w:hAnsi="Calibri"/>
          <w:color w:val="4F81BD" w:themeColor="accent1"/>
        </w:rPr>
        <w:lastRenderedPageBreak/>
        <w:t xml:space="preserve">Annex </w:t>
      </w:r>
      <w:r w:rsidR="0085001A">
        <w:rPr>
          <w:rFonts w:ascii="Calibri" w:hAnsi="Calibri"/>
          <w:color w:val="4F81BD" w:themeColor="accent1"/>
        </w:rPr>
        <w:t xml:space="preserve">– </w:t>
      </w:r>
      <w:r w:rsidR="00612403" w:rsidRPr="00612403">
        <w:rPr>
          <w:rFonts w:ascii="Calibri" w:hAnsi="Calibri"/>
          <w:color w:val="4F81BD" w:themeColor="accent1"/>
        </w:rPr>
        <w:t>Simplified Risk Assessment Template used by Australia</w:t>
      </w:r>
    </w:p>
    <w:p w:rsidR="00AC594F" w:rsidRDefault="00AC594F" w:rsidP="00DE2859">
      <w:pPr>
        <w:pStyle w:val="Heading1"/>
        <w:numPr>
          <w:ilvl w:val="0"/>
          <w:numId w:val="30"/>
        </w:numPr>
      </w:pPr>
      <w:r>
        <w:t>Risk Assessment – [name of the risk assessment]</w:t>
      </w:r>
    </w:p>
    <w:p w:rsidR="00AC594F" w:rsidRDefault="00AC594F" w:rsidP="00AC594F">
      <w:pPr>
        <w:pStyle w:val="Heading1"/>
      </w:pPr>
      <w:r>
        <w:t>Executive Summary [1 page summary]</w:t>
      </w:r>
    </w:p>
    <w:p w:rsidR="00AC594F" w:rsidRPr="00441BE3" w:rsidRDefault="00AC594F" w:rsidP="00AC594F">
      <w:pPr>
        <w:rPr>
          <w:rFonts w:asciiTheme="minorHAnsi" w:hAnsiTheme="minorHAnsi" w:cstheme="minorHAnsi"/>
        </w:rPr>
      </w:pPr>
      <w:r w:rsidRPr="00441BE3">
        <w:rPr>
          <w:rFonts w:asciiTheme="minorHAnsi" w:hAnsiTheme="minorHAnsi" w:cstheme="minorHAnsi"/>
        </w:rPr>
        <w:t>[high level summary of the main points and findings of the assessment]</w:t>
      </w:r>
    </w:p>
    <w:p w:rsidR="00AC594F" w:rsidRDefault="00AC594F" w:rsidP="00AC594F">
      <w:r>
        <w:t xml:space="preserve"> </w:t>
      </w:r>
    </w:p>
    <w:p w:rsidR="00AC594F" w:rsidRDefault="00AC594F" w:rsidP="00AC594F">
      <w:pPr>
        <w:pStyle w:val="Heading2"/>
      </w:pPr>
      <w:r>
        <w:t xml:space="preserve">Recommendations </w:t>
      </w:r>
    </w:p>
    <w:p w:rsidR="00AC594F" w:rsidRPr="00441BE3" w:rsidRDefault="00AC594F" w:rsidP="00AC594F">
      <w:pPr>
        <w:spacing w:line="360" w:lineRule="auto"/>
        <w:rPr>
          <w:rFonts w:asciiTheme="minorHAnsi" w:hAnsiTheme="minorHAnsi" w:cstheme="minorHAnsi"/>
        </w:rPr>
      </w:pPr>
      <w:r w:rsidRPr="00441BE3">
        <w:rPr>
          <w:rFonts w:asciiTheme="minorHAnsi" w:hAnsiTheme="minorHAnsi" w:cstheme="minorHAnsi"/>
        </w:rPr>
        <w:t>[list of recommendations from the risk assessment]</w:t>
      </w:r>
    </w:p>
    <w:p w:rsidR="00AC594F" w:rsidRPr="00FA4E0F" w:rsidRDefault="00AC594F" w:rsidP="00AC594F">
      <w:pPr>
        <w:pStyle w:val="Heading1"/>
      </w:pPr>
      <w:r>
        <w:t>Introduction</w:t>
      </w:r>
    </w:p>
    <w:p w:rsidR="00DE2859" w:rsidRPr="00441BE3" w:rsidRDefault="00DE2859" w:rsidP="00DE2859">
      <w:pPr>
        <w:pStyle w:val="NoSpacing"/>
        <w:jc w:val="both"/>
        <w:rPr>
          <w:rFonts w:cstheme="minorHAnsi"/>
        </w:rPr>
      </w:pPr>
      <w:r w:rsidRPr="00441BE3">
        <w:rPr>
          <w:rFonts w:cstheme="minorHAnsi"/>
        </w:rPr>
        <w:t>[an introduction to the reasons behind the assessment, including the potential safety concerns etc]</w:t>
      </w:r>
    </w:p>
    <w:p w:rsidR="00AC594F" w:rsidRDefault="00AC594F" w:rsidP="00AC594F">
      <w:pPr>
        <w:pStyle w:val="NoSpacing"/>
        <w:jc w:val="both"/>
      </w:pPr>
      <w:r>
        <w:t xml:space="preserve"> </w:t>
      </w:r>
    </w:p>
    <w:p w:rsidR="00AC594F" w:rsidRDefault="00AC594F" w:rsidP="00AC594F">
      <w:pPr>
        <w:pStyle w:val="NoSpacing"/>
        <w:jc w:val="both"/>
      </w:pPr>
    </w:p>
    <w:p w:rsidR="00AC594F" w:rsidRPr="00441BE3" w:rsidRDefault="00441BE3" w:rsidP="00AC594F">
      <w:pPr>
        <w:pStyle w:val="NoSpacing"/>
        <w:jc w:val="both"/>
        <w:rPr>
          <w:rFonts w:cstheme="minorHAnsi"/>
        </w:rPr>
      </w:pPr>
      <w:r>
        <w:rPr>
          <w:rFonts w:cstheme="minorHAnsi"/>
        </w:rPr>
        <w:t xml:space="preserve">[reference to SIRA - </w:t>
      </w:r>
      <w:r w:rsidR="00AC594F" w:rsidRPr="00441BE3">
        <w:rPr>
          <w:rFonts w:cstheme="minorHAnsi"/>
        </w:rPr>
        <w:t>The Simplified IALA Risk Assessment (SIRA) has been used as a guide for completing this assessment.</w:t>
      </w:r>
      <w:r>
        <w:rPr>
          <w:rFonts w:cstheme="minorHAnsi"/>
        </w:rPr>
        <w:t>]</w:t>
      </w:r>
      <w:r w:rsidR="00AC594F" w:rsidRPr="00441BE3">
        <w:rPr>
          <w:rFonts w:cstheme="minorHAnsi"/>
        </w:rPr>
        <w:t xml:space="preserve"> </w:t>
      </w:r>
    </w:p>
    <w:p w:rsidR="00AC594F" w:rsidRDefault="00AC594F" w:rsidP="00AC594F">
      <w:pPr>
        <w:pStyle w:val="Heading2"/>
        <w:jc w:val="both"/>
      </w:pPr>
      <w:r>
        <w:t xml:space="preserve">Area of Interest </w:t>
      </w:r>
    </w:p>
    <w:p w:rsidR="00AC594F" w:rsidRPr="00441BE3" w:rsidRDefault="00DE2859" w:rsidP="00AC594F">
      <w:pPr>
        <w:pStyle w:val="NoSpacing"/>
        <w:jc w:val="both"/>
        <w:rPr>
          <w:rFonts w:cstheme="minorHAnsi"/>
        </w:rPr>
      </w:pPr>
      <w:r w:rsidRPr="00441BE3">
        <w:rPr>
          <w:rFonts w:cstheme="minorHAnsi"/>
        </w:rPr>
        <w:t>[Description of the area of interest and insertion of a graphic/ image to illustrate the area.]</w:t>
      </w:r>
    </w:p>
    <w:p w:rsidR="00AC594F" w:rsidRDefault="00AC594F" w:rsidP="00AC594F">
      <w:pPr>
        <w:pStyle w:val="NoSpacing"/>
      </w:pPr>
    </w:p>
    <w:p w:rsidR="00AC594F" w:rsidRPr="00AE0AD8" w:rsidRDefault="00AC594F" w:rsidP="00AC594F">
      <w:pPr>
        <w:pStyle w:val="NoSpacing"/>
        <w:rPr>
          <w:i/>
        </w:rPr>
      </w:pPr>
    </w:p>
    <w:p w:rsidR="00DE2859" w:rsidRPr="00AE0AD8" w:rsidRDefault="00CF78D9" w:rsidP="00CF78D9">
      <w:pPr>
        <w:pStyle w:val="NoSpacing"/>
        <w:jc w:val="center"/>
        <w:rPr>
          <w:i/>
        </w:rPr>
      </w:pPr>
      <w:r w:rsidRPr="00AE0AD8">
        <w:rPr>
          <w:i/>
        </w:rPr>
        <w:t xml:space="preserve">[Insert image(s) </w:t>
      </w:r>
      <w:r w:rsidR="00AD4654" w:rsidRPr="00AE0AD8">
        <w:rPr>
          <w:i/>
        </w:rPr>
        <w:t>a</w:t>
      </w:r>
      <w:r w:rsidR="00AD4654">
        <w:rPr>
          <w:i/>
        </w:rPr>
        <w:t>s</w:t>
      </w:r>
      <w:r w:rsidR="00AD4654" w:rsidRPr="00AE0AD8">
        <w:rPr>
          <w:i/>
        </w:rPr>
        <w:t xml:space="preserve"> </w:t>
      </w:r>
      <w:r w:rsidRPr="00AE0AD8">
        <w:rPr>
          <w:i/>
        </w:rPr>
        <w:t>required]</w:t>
      </w:r>
    </w:p>
    <w:p w:rsidR="00DE2859" w:rsidRPr="00AE0AD8" w:rsidRDefault="00DE2859" w:rsidP="00AC594F">
      <w:pPr>
        <w:pStyle w:val="NoSpacing"/>
        <w:rPr>
          <w:i/>
        </w:rPr>
      </w:pPr>
    </w:p>
    <w:p w:rsidR="00DE2859" w:rsidRPr="00AE0AD8" w:rsidRDefault="00DE2859" w:rsidP="00AC594F">
      <w:pPr>
        <w:pStyle w:val="NoSpacing"/>
        <w:rPr>
          <w:i/>
        </w:rPr>
      </w:pPr>
    </w:p>
    <w:p w:rsidR="00AC594F" w:rsidRPr="00AE0AD8" w:rsidRDefault="00AC594F" w:rsidP="00DE2859">
      <w:pPr>
        <w:pStyle w:val="NoSpacing"/>
        <w:keepNext/>
        <w:jc w:val="center"/>
        <w:rPr>
          <w:i/>
        </w:rPr>
      </w:pPr>
      <w:r w:rsidRPr="00AE0AD8">
        <w:rPr>
          <w:i/>
        </w:rPr>
        <w:t xml:space="preserve">Figure </w:t>
      </w:r>
      <w:r w:rsidRPr="00AE0AD8">
        <w:rPr>
          <w:i/>
          <w:noProof/>
        </w:rPr>
        <w:fldChar w:fldCharType="begin"/>
      </w:r>
      <w:r w:rsidRPr="00AE0AD8">
        <w:rPr>
          <w:i/>
          <w:noProof/>
        </w:rPr>
        <w:instrText xml:space="preserve"> SEQ Figure \* ARABIC </w:instrText>
      </w:r>
      <w:r w:rsidRPr="00AE0AD8">
        <w:rPr>
          <w:i/>
          <w:noProof/>
        </w:rPr>
        <w:fldChar w:fldCharType="separate"/>
      </w:r>
      <w:r w:rsidRPr="00AE0AD8">
        <w:rPr>
          <w:i/>
          <w:noProof/>
        </w:rPr>
        <w:t>1</w:t>
      </w:r>
      <w:r w:rsidRPr="00AE0AD8">
        <w:rPr>
          <w:i/>
          <w:noProof/>
        </w:rPr>
        <w:fldChar w:fldCharType="end"/>
      </w:r>
      <w:r w:rsidRPr="00AE0AD8">
        <w:rPr>
          <w:i/>
        </w:rPr>
        <w:t xml:space="preserve"> - Area of Interest</w:t>
      </w:r>
    </w:p>
    <w:p w:rsidR="00AC594F" w:rsidRDefault="00AC594F" w:rsidP="00AC594F">
      <w:pPr>
        <w:pStyle w:val="NoSpacing"/>
      </w:pPr>
    </w:p>
    <w:p w:rsidR="00AC594F" w:rsidRPr="00612015" w:rsidRDefault="00AC594F" w:rsidP="00AC594F">
      <w:pPr>
        <w:pStyle w:val="Heading2"/>
      </w:pPr>
      <w:r w:rsidRPr="00612015">
        <w:t>Description of area and environmental conditions</w:t>
      </w:r>
    </w:p>
    <w:p w:rsidR="00CF78D9" w:rsidRPr="00441BE3" w:rsidRDefault="00CF78D9" w:rsidP="00441BE3">
      <w:pPr>
        <w:jc w:val="both"/>
        <w:rPr>
          <w:rFonts w:asciiTheme="minorHAnsi" w:hAnsiTheme="minorHAnsi" w:cstheme="minorHAnsi"/>
        </w:rPr>
      </w:pPr>
      <w:r w:rsidRPr="00441BE3">
        <w:rPr>
          <w:rFonts w:asciiTheme="minorHAnsi" w:hAnsiTheme="minorHAnsi" w:cstheme="minorHAnsi"/>
        </w:rPr>
        <w:t>[A summary of the area including information:</w:t>
      </w:r>
    </w:p>
    <w:p w:rsidR="00CF78D9" w:rsidRPr="00441BE3" w:rsidRDefault="00CF78D9"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Cat ZOC for area</w:t>
      </w:r>
    </w:p>
    <w:p w:rsidR="00CF78D9" w:rsidRPr="00441BE3" w:rsidRDefault="00CF78D9"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Nearby hazards, shoals, dangers</w:t>
      </w:r>
    </w:p>
    <w:p w:rsidR="00CF78D9" w:rsidRPr="00441BE3" w:rsidRDefault="00CF78D9"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Tide and current information</w:t>
      </w:r>
    </w:p>
    <w:p w:rsidR="00CF78D9" w:rsidRPr="00441BE3" w:rsidRDefault="00CF78D9"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Routeing measures</w:t>
      </w:r>
    </w:p>
    <w:p w:rsidR="00CF78D9" w:rsidRPr="00441BE3" w:rsidRDefault="00CF78D9"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Prevailing winds</w:t>
      </w:r>
    </w:p>
    <w:p w:rsidR="00CF78D9" w:rsidRPr="00441BE3" w:rsidRDefault="00CF78D9"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Visibility</w:t>
      </w:r>
    </w:p>
    <w:p w:rsidR="00CF78D9" w:rsidRPr="00441BE3" w:rsidRDefault="00CF78D9"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 xml:space="preserve">Radar propagation </w:t>
      </w:r>
    </w:p>
    <w:p w:rsidR="00CF78D9" w:rsidRPr="00441BE3" w:rsidRDefault="00CF78D9"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Magnetic anomaly</w:t>
      </w:r>
    </w:p>
    <w:p w:rsidR="00CF78D9" w:rsidRPr="00441BE3" w:rsidRDefault="00CF78D9"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 xml:space="preserve">Other traffic </w:t>
      </w:r>
    </w:p>
    <w:p w:rsidR="00CF78D9" w:rsidRPr="00441BE3" w:rsidRDefault="00CF78D9"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And any additional information that may be necessary]</w:t>
      </w:r>
    </w:p>
    <w:p w:rsidR="00CF78D9" w:rsidRDefault="00AC594F" w:rsidP="00AC594F">
      <w:pPr>
        <w:pStyle w:val="Heading1"/>
      </w:pPr>
      <w:r>
        <w:t>Established preventative measures</w:t>
      </w:r>
    </w:p>
    <w:p w:rsidR="00AC594F" w:rsidRPr="00441BE3" w:rsidRDefault="00CF78D9" w:rsidP="00441BE3">
      <w:pPr>
        <w:jc w:val="both"/>
        <w:rPr>
          <w:rFonts w:asciiTheme="minorHAnsi" w:hAnsiTheme="minorHAnsi" w:cstheme="minorHAnsi"/>
        </w:rPr>
      </w:pPr>
      <w:r w:rsidRPr="00441BE3">
        <w:rPr>
          <w:rFonts w:asciiTheme="minorHAnsi" w:hAnsiTheme="minorHAnsi" w:cstheme="minorHAnsi"/>
        </w:rPr>
        <w:t>[Include a summary of existing preventative measure</w:t>
      </w:r>
      <w:r w:rsidR="00AD4654" w:rsidRPr="00441BE3">
        <w:rPr>
          <w:rFonts w:asciiTheme="minorHAnsi" w:hAnsiTheme="minorHAnsi" w:cstheme="minorHAnsi"/>
        </w:rPr>
        <w:t>s</w:t>
      </w:r>
      <w:r w:rsidRPr="00441BE3">
        <w:rPr>
          <w:rFonts w:asciiTheme="minorHAnsi" w:hAnsiTheme="minorHAnsi" w:cstheme="minorHAnsi"/>
        </w:rPr>
        <w:t xml:space="preserve"> that may assist in preventing incidents]</w:t>
      </w:r>
    </w:p>
    <w:p w:rsidR="00AC594F" w:rsidRPr="00612015" w:rsidRDefault="00AC594F" w:rsidP="00AC594F">
      <w:pPr>
        <w:pStyle w:val="Heading2"/>
      </w:pPr>
      <w:r>
        <w:t>Existing aids to navigation (</w:t>
      </w:r>
      <w:r w:rsidRPr="00612015">
        <w:t>AtoN</w:t>
      </w:r>
      <w:r>
        <w:t>)</w:t>
      </w:r>
    </w:p>
    <w:p w:rsidR="00AC594F" w:rsidRPr="00441BE3" w:rsidRDefault="00CF78D9" w:rsidP="00441BE3">
      <w:pPr>
        <w:jc w:val="both"/>
        <w:rPr>
          <w:rFonts w:asciiTheme="minorHAnsi" w:hAnsiTheme="minorHAnsi" w:cstheme="minorHAnsi"/>
        </w:rPr>
      </w:pPr>
      <w:r w:rsidRPr="00441BE3">
        <w:rPr>
          <w:rFonts w:asciiTheme="minorHAnsi" w:hAnsiTheme="minorHAnsi" w:cstheme="minorHAnsi"/>
        </w:rPr>
        <w:t xml:space="preserve">[Provide a summary of </w:t>
      </w:r>
      <w:r w:rsidR="00AE0AD8" w:rsidRPr="00441BE3">
        <w:rPr>
          <w:rFonts w:asciiTheme="minorHAnsi" w:hAnsiTheme="minorHAnsi" w:cstheme="minorHAnsi"/>
        </w:rPr>
        <w:t>existing</w:t>
      </w:r>
      <w:r w:rsidRPr="00441BE3">
        <w:rPr>
          <w:rFonts w:asciiTheme="minorHAnsi" w:hAnsiTheme="minorHAnsi" w:cstheme="minorHAnsi"/>
        </w:rPr>
        <w:t xml:space="preserve"> </w:t>
      </w:r>
      <w:proofErr w:type="spellStart"/>
      <w:r w:rsidRPr="00441BE3">
        <w:rPr>
          <w:rFonts w:asciiTheme="minorHAnsi" w:hAnsiTheme="minorHAnsi" w:cstheme="minorHAnsi"/>
        </w:rPr>
        <w:t>AtoNs</w:t>
      </w:r>
      <w:proofErr w:type="spellEnd"/>
      <w:r w:rsidRPr="00441BE3">
        <w:rPr>
          <w:rFonts w:asciiTheme="minorHAnsi" w:hAnsiTheme="minorHAnsi" w:cstheme="minorHAnsi"/>
        </w:rPr>
        <w:t>, including a history for their establishment, images, and consideration of their effectiveness]</w:t>
      </w:r>
    </w:p>
    <w:p w:rsidR="00AC594F" w:rsidRDefault="00AC594F" w:rsidP="00AC594F">
      <w:pPr>
        <w:pStyle w:val="Heading2"/>
      </w:pPr>
      <w:r w:rsidRPr="002A5C4A">
        <w:t>Rout</w:t>
      </w:r>
      <w:r>
        <w:t>e</w:t>
      </w:r>
      <w:r w:rsidRPr="002A5C4A">
        <w:t xml:space="preserve">ing </w:t>
      </w:r>
      <w:r>
        <w:t>systems</w:t>
      </w:r>
      <w:r w:rsidR="00CF78D9">
        <w:t xml:space="preserve"> and additional protective measures</w:t>
      </w:r>
    </w:p>
    <w:p w:rsidR="00AC594F" w:rsidRPr="00441BE3" w:rsidRDefault="00CF78D9" w:rsidP="00441BE3">
      <w:pPr>
        <w:jc w:val="both"/>
        <w:rPr>
          <w:rFonts w:asciiTheme="minorHAnsi" w:hAnsiTheme="minorHAnsi" w:cstheme="minorHAnsi"/>
        </w:rPr>
      </w:pPr>
      <w:r w:rsidRPr="00441BE3">
        <w:rPr>
          <w:rFonts w:asciiTheme="minorHAnsi" w:hAnsiTheme="minorHAnsi" w:cstheme="minorHAnsi"/>
        </w:rPr>
        <w:t xml:space="preserve">[does the area of interest include routeing measures such as designated shipping areas, </w:t>
      </w:r>
      <w:proofErr w:type="gramStart"/>
      <w:r w:rsidRPr="00441BE3">
        <w:rPr>
          <w:rFonts w:asciiTheme="minorHAnsi" w:hAnsiTheme="minorHAnsi" w:cstheme="minorHAnsi"/>
        </w:rPr>
        <w:t>two way</w:t>
      </w:r>
      <w:proofErr w:type="gramEnd"/>
      <w:r w:rsidRPr="00441BE3">
        <w:rPr>
          <w:rFonts w:asciiTheme="minorHAnsi" w:hAnsiTheme="minorHAnsi" w:cstheme="minorHAnsi"/>
        </w:rPr>
        <w:t xml:space="preserve"> routes, additional protective measures, traffic separation </w:t>
      </w:r>
      <w:r w:rsidR="00441BE3" w:rsidRPr="00441BE3">
        <w:rPr>
          <w:rFonts w:asciiTheme="minorHAnsi" w:hAnsiTheme="minorHAnsi" w:cstheme="minorHAnsi"/>
        </w:rPr>
        <w:t>schemes</w:t>
      </w:r>
      <w:r w:rsidR="00AD4654" w:rsidRPr="00441BE3">
        <w:rPr>
          <w:rFonts w:asciiTheme="minorHAnsi" w:hAnsiTheme="minorHAnsi" w:cstheme="minorHAnsi"/>
        </w:rPr>
        <w:t>,</w:t>
      </w:r>
      <w:r w:rsidRPr="00441BE3">
        <w:rPr>
          <w:rFonts w:asciiTheme="minorHAnsi" w:hAnsiTheme="minorHAnsi" w:cstheme="minorHAnsi"/>
        </w:rPr>
        <w:t xml:space="preserve"> etc]</w:t>
      </w:r>
    </w:p>
    <w:p w:rsidR="00AC594F" w:rsidRPr="002A5C4A" w:rsidRDefault="00AC594F" w:rsidP="00AC594F">
      <w:pPr>
        <w:pStyle w:val="Heading2"/>
      </w:pPr>
      <w:r>
        <w:lastRenderedPageBreak/>
        <w:t>N</w:t>
      </w:r>
      <w:r w:rsidRPr="002A5C4A">
        <w:t>avigation</w:t>
      </w:r>
      <w:r>
        <w:t xml:space="preserve"> services</w:t>
      </w:r>
    </w:p>
    <w:p w:rsidR="00AC594F" w:rsidRPr="00441BE3" w:rsidRDefault="00CF78D9" w:rsidP="00441BE3">
      <w:pPr>
        <w:jc w:val="both"/>
        <w:rPr>
          <w:rFonts w:asciiTheme="minorHAnsi" w:hAnsiTheme="minorHAnsi" w:cstheme="minorHAnsi"/>
        </w:rPr>
      </w:pPr>
      <w:r w:rsidRPr="00441BE3">
        <w:rPr>
          <w:rFonts w:asciiTheme="minorHAnsi" w:hAnsiTheme="minorHAnsi" w:cstheme="minorHAnsi"/>
        </w:rPr>
        <w:t>[does the area include vessel traffic services, Differential Global Navigation Satellite system, VHF data exchange services</w:t>
      </w:r>
      <w:r w:rsidR="0006788C" w:rsidRPr="00441BE3">
        <w:rPr>
          <w:rFonts w:asciiTheme="minorHAnsi" w:hAnsiTheme="minorHAnsi" w:cstheme="minorHAnsi"/>
        </w:rPr>
        <w:t>]</w:t>
      </w:r>
    </w:p>
    <w:p w:rsidR="00AC594F" w:rsidRPr="00490323" w:rsidRDefault="00AC594F" w:rsidP="00AC594F">
      <w:pPr>
        <w:pStyle w:val="Heading2"/>
      </w:pPr>
      <w:r w:rsidRPr="00490323">
        <w:t>Briefing and</w:t>
      </w:r>
      <w:r w:rsidR="0006788C">
        <w:t xml:space="preserve"> other</w:t>
      </w:r>
      <w:r w:rsidRPr="00490323">
        <w:t xml:space="preserve"> </w:t>
      </w:r>
      <w:r>
        <w:t xml:space="preserve">Safety </w:t>
      </w:r>
      <w:r w:rsidRPr="00490323">
        <w:t>Messag</w:t>
      </w:r>
      <w:r>
        <w:t>es</w:t>
      </w:r>
    </w:p>
    <w:p w:rsidR="0006788C" w:rsidRPr="00441BE3" w:rsidRDefault="0006788C" w:rsidP="00441BE3">
      <w:pPr>
        <w:jc w:val="both"/>
        <w:rPr>
          <w:rFonts w:asciiTheme="minorHAnsi" w:hAnsiTheme="minorHAnsi" w:cstheme="minorHAnsi"/>
        </w:rPr>
      </w:pPr>
      <w:r w:rsidRPr="00441BE3">
        <w:rPr>
          <w:rFonts w:asciiTheme="minorHAnsi" w:hAnsiTheme="minorHAnsi" w:cstheme="minorHAnsi"/>
        </w:rPr>
        <w:t xml:space="preserve">[Have any additional provisions been made to ensure </w:t>
      </w:r>
      <w:r w:rsidR="00441BE3" w:rsidRPr="00441BE3">
        <w:rPr>
          <w:rFonts w:asciiTheme="minorHAnsi" w:hAnsiTheme="minorHAnsi" w:cstheme="minorHAnsi"/>
        </w:rPr>
        <w:t xml:space="preserve">that </w:t>
      </w:r>
      <w:r w:rsidRPr="00441BE3">
        <w:rPr>
          <w:rFonts w:asciiTheme="minorHAnsi" w:hAnsiTheme="minorHAnsi" w:cstheme="minorHAnsi"/>
        </w:rPr>
        <w:t>the Master and bridge team are aware of dangers such as AIS safety related messaging, post pilotage briefings and additional information resources such as passage planning guides]</w:t>
      </w:r>
    </w:p>
    <w:p w:rsidR="00AC594F" w:rsidRPr="00B53D4A" w:rsidRDefault="00AC594F" w:rsidP="00AC594F">
      <w:pPr>
        <w:pStyle w:val="Heading2"/>
      </w:pPr>
      <w:r>
        <w:t>Expected Navigation Route and sequence of events</w:t>
      </w:r>
    </w:p>
    <w:p w:rsidR="0006788C" w:rsidRPr="00441BE3" w:rsidRDefault="0006788C" w:rsidP="00441BE3">
      <w:pPr>
        <w:jc w:val="both"/>
        <w:rPr>
          <w:rFonts w:asciiTheme="minorHAnsi" w:hAnsiTheme="minorHAnsi" w:cstheme="minorHAnsi"/>
        </w:rPr>
      </w:pPr>
      <w:r w:rsidRPr="00441BE3">
        <w:rPr>
          <w:rFonts w:asciiTheme="minorHAnsi" w:hAnsiTheme="minorHAnsi" w:cstheme="minorHAnsi"/>
        </w:rPr>
        <w:t xml:space="preserve">[it may be necessary to include a summary of the expected navigation route, including </w:t>
      </w:r>
      <w:proofErr w:type="spellStart"/>
      <w:r w:rsidRPr="00441BE3">
        <w:rPr>
          <w:rFonts w:asciiTheme="minorHAnsi" w:hAnsiTheme="minorHAnsi" w:cstheme="minorHAnsi"/>
        </w:rPr>
        <w:t>chartlets</w:t>
      </w:r>
      <w:proofErr w:type="spellEnd"/>
      <w:r w:rsidRPr="00441BE3">
        <w:rPr>
          <w:rFonts w:asciiTheme="minorHAnsi" w:hAnsiTheme="minorHAnsi" w:cstheme="minorHAnsi"/>
        </w:rPr>
        <w:t xml:space="preserve"> illustrating courses, dangers, wheel over points and hazards.</w:t>
      </w:r>
    </w:p>
    <w:p w:rsidR="00AC594F" w:rsidRPr="00441BE3" w:rsidRDefault="0006788C" w:rsidP="00441BE3">
      <w:pPr>
        <w:jc w:val="both"/>
        <w:rPr>
          <w:rFonts w:asciiTheme="minorHAnsi" w:hAnsiTheme="minorHAnsi" w:cstheme="minorHAnsi"/>
        </w:rPr>
      </w:pPr>
      <w:r w:rsidRPr="00441BE3">
        <w:rPr>
          <w:rFonts w:asciiTheme="minorHAnsi" w:hAnsiTheme="minorHAnsi" w:cstheme="minorHAnsi"/>
        </w:rPr>
        <w:t xml:space="preserve">This section can </w:t>
      </w:r>
      <w:r w:rsidR="00441BE3" w:rsidRPr="00441BE3">
        <w:rPr>
          <w:rFonts w:asciiTheme="minorHAnsi" w:hAnsiTheme="minorHAnsi" w:cstheme="minorHAnsi"/>
        </w:rPr>
        <w:t xml:space="preserve">also </w:t>
      </w:r>
      <w:r w:rsidRPr="00441BE3">
        <w:rPr>
          <w:rFonts w:asciiTheme="minorHAnsi" w:hAnsiTheme="minorHAnsi" w:cstheme="minorHAnsi"/>
        </w:rPr>
        <w:t xml:space="preserve">be used to illustrate what would normal </w:t>
      </w:r>
      <w:r w:rsidR="00441BE3" w:rsidRPr="00441BE3">
        <w:rPr>
          <w:rFonts w:asciiTheme="minorHAnsi" w:hAnsiTheme="minorHAnsi" w:cstheme="minorHAnsi"/>
        </w:rPr>
        <w:t>be expected when following responsible navigation practices.</w:t>
      </w:r>
      <w:r w:rsidRPr="00441BE3">
        <w:rPr>
          <w:rFonts w:asciiTheme="minorHAnsi" w:hAnsiTheme="minorHAnsi" w:cstheme="minorHAnsi"/>
        </w:rPr>
        <w:t>]</w:t>
      </w:r>
    </w:p>
    <w:p w:rsidR="00AC594F" w:rsidRPr="00612015" w:rsidRDefault="00AC594F" w:rsidP="00AC594F">
      <w:pPr>
        <w:pStyle w:val="Heading2"/>
      </w:pPr>
      <w:r w:rsidRPr="00612015">
        <w:t xml:space="preserve">Identification of </w:t>
      </w:r>
      <w:r>
        <w:t>h</w:t>
      </w:r>
      <w:r w:rsidRPr="00612015">
        <w:t xml:space="preserve">azards to </w:t>
      </w:r>
      <w:r>
        <w:t>g</w:t>
      </w:r>
      <w:r w:rsidRPr="00612015">
        <w:t>rounding</w:t>
      </w:r>
    </w:p>
    <w:p w:rsidR="00AC594F" w:rsidRPr="00441BE3" w:rsidRDefault="00D936C2" w:rsidP="00441BE3">
      <w:pPr>
        <w:jc w:val="both"/>
        <w:rPr>
          <w:rFonts w:asciiTheme="minorHAnsi" w:hAnsiTheme="minorHAnsi" w:cstheme="minorHAnsi"/>
        </w:rPr>
      </w:pPr>
      <w:r w:rsidRPr="00441BE3">
        <w:rPr>
          <w:rFonts w:asciiTheme="minorHAnsi" w:hAnsiTheme="minorHAnsi" w:cstheme="minorHAnsi"/>
        </w:rPr>
        <w:t>[a brief summary of the hazards to navigation within the area of interest]</w:t>
      </w:r>
    </w:p>
    <w:p w:rsidR="00AC594F" w:rsidRPr="00F377D4" w:rsidRDefault="00AC594F" w:rsidP="00AC594F">
      <w:pPr>
        <w:pStyle w:val="Heading2"/>
      </w:pPr>
      <w:r>
        <w:t>Systems Support</w:t>
      </w:r>
    </w:p>
    <w:p w:rsidR="00D936C2" w:rsidRPr="00441BE3" w:rsidRDefault="00D936C2" w:rsidP="00441BE3">
      <w:pPr>
        <w:jc w:val="both"/>
        <w:rPr>
          <w:rFonts w:asciiTheme="minorHAnsi" w:hAnsiTheme="minorHAnsi" w:cstheme="minorHAnsi"/>
        </w:rPr>
      </w:pPr>
      <w:r w:rsidRPr="00441BE3">
        <w:rPr>
          <w:rFonts w:asciiTheme="minorHAnsi" w:hAnsiTheme="minorHAnsi" w:cstheme="minorHAnsi"/>
        </w:rPr>
        <w:t>[Depending on the situation, it may be beneficial to provide a summary of the expected support from the systems onboard an average ship when approaching the area of interest. An example is as follows:</w:t>
      </w:r>
    </w:p>
    <w:p w:rsidR="00AC594F" w:rsidRPr="00441BE3" w:rsidRDefault="00AC594F"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For an ECDIS fitted ship, if the  ship fails to make the 164°T course alteration, the following should occur, providing the ship’s fitted ECDIS is configured properly:</w:t>
      </w:r>
    </w:p>
    <w:p w:rsidR="00D936C2" w:rsidRPr="00441BE3" w:rsidRDefault="00AC594F"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ECDIS will alert the OOW that they are exiting the TWR (audible and visual alarm).</w:t>
      </w:r>
    </w:p>
    <w:p w:rsidR="00AC594F" w:rsidRPr="00441BE3" w:rsidRDefault="00AC594F"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After approximately another 3-5 NM, depending on their course, the ship will exit the DSA and ECDIS will ‘alert’ the OOW.</w:t>
      </w:r>
    </w:p>
    <w:p w:rsidR="00AC594F" w:rsidRPr="00441BE3" w:rsidRDefault="00AC594F"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An anti-grounding warning will activate (visual and audible) based on parameters set by the navigation officer.</w:t>
      </w:r>
    </w:p>
    <w:p w:rsidR="00AC594F" w:rsidRPr="00441BE3" w:rsidRDefault="00AC594F"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An anti-grounding alarm will activate (visual and audible) based on parameters set by the navigation officer.</w:t>
      </w:r>
    </w:p>
    <w:p w:rsidR="00AC594F" w:rsidRPr="00441BE3" w:rsidRDefault="00AC594F"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The ECDIS will alert and then alarm (audible and visual) that the ship is approaching and then navigating outside of the cross-track limits of the planned navigation track.</w:t>
      </w:r>
    </w:p>
    <w:p w:rsidR="00AC594F" w:rsidRPr="00441BE3" w:rsidRDefault="00AC594F"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ECDIS should also alarm when the ship is approaching the safety depth</w:t>
      </w:r>
      <w:r w:rsidR="00441BE3" w:rsidRPr="00441BE3">
        <w:rPr>
          <w:rFonts w:asciiTheme="minorHAnsi" w:hAnsiTheme="minorHAnsi" w:cstheme="minorHAnsi"/>
        </w:rPr>
        <w:t xml:space="preserve"> or contour</w:t>
      </w:r>
      <w:r w:rsidRPr="00441BE3">
        <w:rPr>
          <w:rFonts w:asciiTheme="minorHAnsi" w:hAnsiTheme="minorHAnsi" w:cstheme="minorHAnsi"/>
        </w:rPr>
        <w:t xml:space="preserve"> as set in the system.</w:t>
      </w:r>
      <w:r w:rsidR="00D936C2" w:rsidRPr="00441BE3">
        <w:rPr>
          <w:rFonts w:asciiTheme="minorHAnsi" w:hAnsiTheme="minorHAnsi" w:cstheme="minorHAnsi"/>
        </w:rPr>
        <w:t>]</w:t>
      </w:r>
    </w:p>
    <w:p w:rsidR="00AE0AD8" w:rsidRPr="00AE0AD8" w:rsidRDefault="00AC594F" w:rsidP="00AE0AD8">
      <w:pPr>
        <w:pStyle w:val="Heading1"/>
      </w:pPr>
      <w:r w:rsidRPr="00612015">
        <w:t xml:space="preserve">Assessment of </w:t>
      </w:r>
      <w:r>
        <w:t>t</w:t>
      </w:r>
      <w:r w:rsidRPr="00612015">
        <w:t>raffic</w:t>
      </w:r>
      <w:r w:rsidR="00590A28">
        <w:t xml:space="preserve"> and </w:t>
      </w:r>
      <w:r w:rsidR="00AE0AD8">
        <w:t>datA</w:t>
      </w:r>
    </w:p>
    <w:p w:rsidR="00AC594F" w:rsidRPr="00441BE3" w:rsidRDefault="00D936C2" w:rsidP="00441BE3">
      <w:pPr>
        <w:jc w:val="both"/>
        <w:rPr>
          <w:rFonts w:asciiTheme="minorHAnsi" w:hAnsiTheme="minorHAnsi" w:cstheme="minorHAnsi"/>
        </w:rPr>
      </w:pPr>
      <w:r w:rsidRPr="00441BE3">
        <w:rPr>
          <w:rFonts w:asciiTheme="minorHAnsi" w:hAnsiTheme="minorHAnsi" w:cstheme="minorHAnsi"/>
        </w:rPr>
        <w:t xml:space="preserve">[insert an assessment of the traffic in the area.  </w:t>
      </w:r>
      <w:r w:rsidR="00590A28" w:rsidRPr="00441BE3">
        <w:rPr>
          <w:rFonts w:asciiTheme="minorHAnsi" w:hAnsiTheme="minorHAnsi" w:cstheme="minorHAnsi"/>
        </w:rPr>
        <w:t>Examples of what the assessment may include are as follows</w:t>
      </w:r>
      <w:r w:rsidRPr="00441BE3">
        <w:rPr>
          <w:rFonts w:asciiTheme="minorHAnsi" w:hAnsiTheme="minorHAnsi" w:cstheme="minorHAnsi"/>
        </w:rPr>
        <w:t>:</w:t>
      </w:r>
    </w:p>
    <w:p w:rsidR="00D936C2" w:rsidRPr="00441BE3" w:rsidRDefault="00590A28"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 xml:space="preserve">Type of </w:t>
      </w:r>
      <w:r w:rsidR="00D936C2" w:rsidRPr="00441BE3">
        <w:rPr>
          <w:rFonts w:asciiTheme="minorHAnsi" w:hAnsiTheme="minorHAnsi" w:cstheme="minorHAnsi"/>
        </w:rPr>
        <w:t>AIS Data (Class A and B)</w:t>
      </w:r>
    </w:p>
    <w:p w:rsidR="00D936C2" w:rsidRPr="00441BE3" w:rsidRDefault="00D936C2"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Types of Vessels (SOLAS, Domestic, Tanker, Bulk, Container</w:t>
      </w:r>
      <w:r w:rsidR="00590A28" w:rsidRPr="00441BE3">
        <w:rPr>
          <w:rFonts w:asciiTheme="minorHAnsi" w:hAnsiTheme="minorHAnsi" w:cstheme="minorHAnsi"/>
        </w:rPr>
        <w:t>, Fishing, pleasure, passenger</w:t>
      </w:r>
      <w:r w:rsidRPr="00441BE3">
        <w:rPr>
          <w:rFonts w:asciiTheme="minorHAnsi" w:hAnsiTheme="minorHAnsi" w:cstheme="minorHAnsi"/>
        </w:rPr>
        <w:t xml:space="preserve"> etc)</w:t>
      </w:r>
    </w:p>
    <w:p w:rsidR="00D936C2" w:rsidRPr="00441BE3" w:rsidRDefault="00D936C2"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 xml:space="preserve">Navigation data such as course, speed, </w:t>
      </w:r>
      <w:r w:rsidR="00590A28" w:rsidRPr="00441BE3">
        <w:rPr>
          <w:rFonts w:asciiTheme="minorHAnsi" w:hAnsiTheme="minorHAnsi" w:cstheme="minorHAnsi"/>
        </w:rPr>
        <w:t xml:space="preserve">length, tonnage, </w:t>
      </w:r>
      <w:r w:rsidRPr="00441BE3">
        <w:rPr>
          <w:rFonts w:asciiTheme="minorHAnsi" w:hAnsiTheme="minorHAnsi" w:cstheme="minorHAnsi"/>
        </w:rPr>
        <w:t>draught</w:t>
      </w:r>
    </w:p>
    <w:p w:rsidR="00590A28" w:rsidRPr="00441BE3" w:rsidRDefault="00590A28"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Any potential errors identified through data analysis</w:t>
      </w:r>
    </w:p>
    <w:p w:rsidR="00AE0AD8" w:rsidRPr="00441BE3" w:rsidRDefault="00590A28" w:rsidP="00441BE3">
      <w:pPr>
        <w:pStyle w:val="ListParagraph"/>
        <w:numPr>
          <w:ilvl w:val="0"/>
          <w:numId w:val="18"/>
        </w:numPr>
        <w:contextualSpacing w:val="0"/>
        <w:jc w:val="both"/>
        <w:rPr>
          <w:rFonts w:asciiTheme="minorHAnsi" w:hAnsiTheme="minorHAnsi" w:cstheme="minorHAnsi"/>
        </w:rPr>
      </w:pPr>
      <w:r w:rsidRPr="00441BE3">
        <w:rPr>
          <w:rFonts w:asciiTheme="minorHAnsi" w:hAnsiTheme="minorHAnsi" w:cstheme="minorHAnsi"/>
        </w:rPr>
        <w:t>Assessment of incident rates.]</w:t>
      </w:r>
    </w:p>
    <w:p w:rsidR="00AE0AD8" w:rsidRPr="00AE0AD8" w:rsidRDefault="00AE0AD8" w:rsidP="00AE0AD8">
      <w:pPr>
        <w:pStyle w:val="Heading1"/>
      </w:pPr>
      <w:r w:rsidRPr="00AE0AD8">
        <w:t>Conclusion and Recommendations</w:t>
      </w:r>
    </w:p>
    <w:p w:rsidR="00AC594F" w:rsidRPr="00441BE3" w:rsidRDefault="00AE0AD8" w:rsidP="00AE0AD8">
      <w:pPr>
        <w:jc w:val="both"/>
        <w:rPr>
          <w:rFonts w:asciiTheme="minorHAnsi" w:hAnsiTheme="minorHAnsi" w:cstheme="minorHAnsi"/>
        </w:rPr>
      </w:pPr>
      <w:r w:rsidRPr="00441BE3">
        <w:rPr>
          <w:rFonts w:asciiTheme="minorHAnsi" w:hAnsiTheme="minorHAnsi" w:cstheme="minorHAnsi"/>
        </w:rPr>
        <w:t>[Include any conclusions as a result of the risk assessment process and propose an</w:t>
      </w:r>
      <w:r w:rsidR="00441BE3" w:rsidRPr="00441BE3">
        <w:rPr>
          <w:rFonts w:asciiTheme="minorHAnsi" w:hAnsiTheme="minorHAnsi" w:cstheme="minorHAnsi"/>
        </w:rPr>
        <w:t>y</w:t>
      </w:r>
      <w:r w:rsidRPr="00441BE3">
        <w:rPr>
          <w:rFonts w:asciiTheme="minorHAnsi" w:hAnsiTheme="minorHAnsi" w:cstheme="minorHAnsi"/>
        </w:rPr>
        <w:t xml:space="preserve"> recommendations.]</w:t>
      </w:r>
    </w:p>
    <w:p w:rsidR="00AC594F" w:rsidRPr="00441BE3" w:rsidRDefault="00AC594F" w:rsidP="00AC594F">
      <w:pPr>
        <w:jc w:val="both"/>
        <w:rPr>
          <w:rFonts w:asciiTheme="minorHAnsi" w:hAnsiTheme="minorHAnsi" w:cstheme="minorHAnsi"/>
        </w:rPr>
      </w:pPr>
    </w:p>
    <w:p w:rsidR="00AC594F" w:rsidRDefault="00AC594F" w:rsidP="00AC594F">
      <w:pPr>
        <w:sectPr w:rsidR="00AC594F" w:rsidSect="00671C85">
          <w:headerReference w:type="even" r:id="rId12"/>
          <w:headerReference w:type="default" r:id="rId13"/>
          <w:footerReference w:type="even" r:id="rId14"/>
          <w:footerReference w:type="default" r:id="rId15"/>
          <w:headerReference w:type="first" r:id="rId16"/>
          <w:footerReference w:type="first" r:id="rId17"/>
          <w:pgSz w:w="11906" w:h="16838"/>
          <w:pgMar w:top="709" w:right="1440" w:bottom="1135" w:left="709" w:header="708" w:footer="708" w:gutter="0"/>
          <w:cols w:space="708"/>
          <w:docGrid w:linePitch="360"/>
        </w:sectPr>
      </w:pPr>
    </w:p>
    <w:p w:rsidR="00AC594F" w:rsidRDefault="00AC594F" w:rsidP="00AC594F">
      <w:pPr>
        <w:pStyle w:val="Heading2"/>
      </w:pPr>
      <w:r>
        <w:lastRenderedPageBreak/>
        <w:t xml:space="preserve">Annex 1 - Risk assessment – </w:t>
      </w:r>
      <w:r w:rsidR="00590A28">
        <w:t>[title of assessment]</w:t>
      </w:r>
    </w:p>
    <w:tbl>
      <w:tblPr>
        <w:tblStyle w:val="TableGrid"/>
        <w:tblW w:w="14459" w:type="dxa"/>
        <w:tblInd w:w="-572" w:type="dxa"/>
        <w:tblLayout w:type="fixed"/>
        <w:tblLook w:val="04A0" w:firstRow="1" w:lastRow="0" w:firstColumn="1" w:lastColumn="0" w:noHBand="0" w:noVBand="1"/>
      </w:tblPr>
      <w:tblGrid>
        <w:gridCol w:w="1399"/>
        <w:gridCol w:w="1391"/>
        <w:gridCol w:w="2092"/>
        <w:gridCol w:w="1256"/>
        <w:gridCol w:w="950"/>
        <w:gridCol w:w="992"/>
        <w:gridCol w:w="1134"/>
        <w:gridCol w:w="2126"/>
        <w:gridCol w:w="993"/>
        <w:gridCol w:w="992"/>
        <w:gridCol w:w="1134"/>
      </w:tblGrid>
      <w:tr w:rsidR="003A4EDE" w:rsidRPr="00165B79" w:rsidTr="003A4EDE">
        <w:tc>
          <w:tcPr>
            <w:tcW w:w="11340" w:type="dxa"/>
            <w:gridSpan w:val="8"/>
            <w:shd w:val="clear" w:color="auto" w:fill="D9D9D9" w:themeFill="background1" w:themeFillShade="D9"/>
          </w:tcPr>
          <w:p w:rsidR="003A4EDE" w:rsidRPr="003A4EDE" w:rsidRDefault="003A4EDE" w:rsidP="003A4EDE">
            <w:r w:rsidRPr="003A4EDE">
              <w:t xml:space="preserve">Risk Assessment for </w:t>
            </w:r>
            <w:r>
              <w:t>[insert name or area or assessment]</w:t>
            </w:r>
          </w:p>
        </w:tc>
        <w:tc>
          <w:tcPr>
            <w:tcW w:w="3119" w:type="dxa"/>
            <w:gridSpan w:val="3"/>
            <w:shd w:val="clear" w:color="auto" w:fill="D9D9D9" w:themeFill="background1" w:themeFillShade="D9"/>
          </w:tcPr>
          <w:p w:rsidR="003A4EDE" w:rsidRDefault="003A4EDE" w:rsidP="003E1FEE">
            <w:r>
              <w:t xml:space="preserve">Residual Assessment </w:t>
            </w:r>
          </w:p>
          <w:p w:rsidR="003A4EDE" w:rsidRPr="00165B79" w:rsidRDefault="00437A0D" w:rsidP="003E1FEE">
            <w:r>
              <w:rPr>
                <w:sz w:val="14"/>
              </w:rPr>
              <w:t>Remaining</w:t>
            </w:r>
            <w:r w:rsidR="003A4EDE" w:rsidRPr="003A4EDE">
              <w:rPr>
                <w:sz w:val="14"/>
              </w:rPr>
              <w:t xml:space="preserve"> risk once controls are implemented</w:t>
            </w:r>
          </w:p>
        </w:tc>
      </w:tr>
      <w:tr w:rsidR="003A4EDE" w:rsidRPr="003A4EDE" w:rsidTr="003A4EDE">
        <w:tc>
          <w:tcPr>
            <w:tcW w:w="1399" w:type="dxa"/>
            <w:shd w:val="clear" w:color="auto" w:fill="D9D9D9" w:themeFill="background1" w:themeFillShade="D9"/>
          </w:tcPr>
          <w:p w:rsidR="003A4EDE" w:rsidRPr="003A4EDE" w:rsidRDefault="003A4EDE" w:rsidP="003A4EDE">
            <w:pPr>
              <w:jc w:val="center"/>
              <w:rPr>
                <w:sz w:val="12"/>
              </w:rPr>
            </w:pPr>
            <w:r w:rsidRPr="003A4EDE">
              <w:rPr>
                <w:sz w:val="12"/>
              </w:rPr>
              <w:t>Scenario</w:t>
            </w:r>
          </w:p>
        </w:tc>
        <w:tc>
          <w:tcPr>
            <w:tcW w:w="1391" w:type="dxa"/>
            <w:shd w:val="clear" w:color="auto" w:fill="D9D9D9" w:themeFill="background1" w:themeFillShade="D9"/>
          </w:tcPr>
          <w:p w:rsidR="003A4EDE" w:rsidRPr="003A4EDE" w:rsidRDefault="003A4EDE" w:rsidP="003A4EDE">
            <w:pPr>
              <w:jc w:val="center"/>
              <w:rPr>
                <w:sz w:val="12"/>
              </w:rPr>
            </w:pPr>
            <w:r w:rsidRPr="003A4EDE">
              <w:rPr>
                <w:sz w:val="12"/>
              </w:rPr>
              <w:t>Description</w:t>
            </w:r>
          </w:p>
        </w:tc>
        <w:tc>
          <w:tcPr>
            <w:tcW w:w="2092" w:type="dxa"/>
            <w:shd w:val="clear" w:color="auto" w:fill="D9D9D9" w:themeFill="background1" w:themeFillShade="D9"/>
          </w:tcPr>
          <w:p w:rsidR="003A4EDE" w:rsidRPr="003A4EDE" w:rsidRDefault="003A4EDE" w:rsidP="003A4EDE">
            <w:pPr>
              <w:jc w:val="center"/>
              <w:rPr>
                <w:sz w:val="12"/>
              </w:rPr>
            </w:pPr>
            <w:r>
              <w:rPr>
                <w:sz w:val="12"/>
              </w:rPr>
              <w:t xml:space="preserve">Description of </w:t>
            </w:r>
            <w:r w:rsidRPr="003A4EDE">
              <w:rPr>
                <w:sz w:val="12"/>
              </w:rPr>
              <w:t>Consequence</w:t>
            </w:r>
          </w:p>
        </w:tc>
        <w:tc>
          <w:tcPr>
            <w:tcW w:w="1256" w:type="dxa"/>
            <w:shd w:val="clear" w:color="auto" w:fill="D9D9D9" w:themeFill="background1" w:themeFillShade="D9"/>
          </w:tcPr>
          <w:p w:rsidR="003A4EDE" w:rsidRPr="003A4EDE" w:rsidRDefault="003A4EDE" w:rsidP="003A4EDE">
            <w:pPr>
              <w:jc w:val="center"/>
              <w:rPr>
                <w:sz w:val="12"/>
              </w:rPr>
            </w:pPr>
            <w:r w:rsidRPr="003A4EDE">
              <w:rPr>
                <w:sz w:val="12"/>
              </w:rPr>
              <w:t>Existing mitigations</w:t>
            </w:r>
          </w:p>
        </w:tc>
        <w:tc>
          <w:tcPr>
            <w:tcW w:w="950" w:type="dxa"/>
            <w:shd w:val="clear" w:color="auto" w:fill="D9D9D9" w:themeFill="background1" w:themeFillShade="D9"/>
          </w:tcPr>
          <w:p w:rsidR="003A4EDE" w:rsidRPr="003A4EDE" w:rsidRDefault="003A4EDE" w:rsidP="005F37D0">
            <w:pPr>
              <w:jc w:val="center"/>
              <w:rPr>
                <w:sz w:val="12"/>
              </w:rPr>
            </w:pPr>
            <w:r w:rsidRPr="003A4EDE">
              <w:rPr>
                <w:sz w:val="12"/>
              </w:rPr>
              <w:t>Likelihood</w:t>
            </w:r>
          </w:p>
          <w:p w:rsidR="003A4EDE" w:rsidRPr="003A4EDE" w:rsidRDefault="003A4EDE" w:rsidP="005F37D0">
            <w:pPr>
              <w:jc w:val="center"/>
              <w:rPr>
                <w:sz w:val="12"/>
              </w:rPr>
            </w:pPr>
          </w:p>
        </w:tc>
        <w:tc>
          <w:tcPr>
            <w:tcW w:w="992" w:type="dxa"/>
            <w:shd w:val="clear" w:color="auto" w:fill="D9D9D9" w:themeFill="background1" w:themeFillShade="D9"/>
          </w:tcPr>
          <w:p w:rsidR="003A4EDE" w:rsidRPr="003A4EDE" w:rsidRDefault="003A4EDE" w:rsidP="005F37D0">
            <w:pPr>
              <w:jc w:val="center"/>
              <w:rPr>
                <w:sz w:val="12"/>
              </w:rPr>
            </w:pPr>
            <w:r w:rsidRPr="003A4EDE">
              <w:rPr>
                <w:sz w:val="12"/>
              </w:rPr>
              <w:t>Consequence</w:t>
            </w:r>
          </w:p>
          <w:p w:rsidR="003A4EDE" w:rsidRPr="003A4EDE" w:rsidRDefault="003A4EDE" w:rsidP="005F37D0">
            <w:pPr>
              <w:jc w:val="center"/>
              <w:rPr>
                <w:sz w:val="12"/>
              </w:rPr>
            </w:pPr>
          </w:p>
        </w:tc>
        <w:tc>
          <w:tcPr>
            <w:tcW w:w="1134" w:type="dxa"/>
            <w:shd w:val="clear" w:color="auto" w:fill="D9D9D9" w:themeFill="background1" w:themeFillShade="D9"/>
          </w:tcPr>
          <w:p w:rsidR="003A4EDE" w:rsidRPr="003A4EDE" w:rsidRDefault="003A4EDE" w:rsidP="005F37D0">
            <w:pPr>
              <w:jc w:val="center"/>
              <w:rPr>
                <w:sz w:val="12"/>
              </w:rPr>
            </w:pPr>
            <w:r w:rsidRPr="003A4EDE">
              <w:rPr>
                <w:sz w:val="12"/>
              </w:rPr>
              <w:t>Overall Score</w:t>
            </w:r>
          </w:p>
        </w:tc>
        <w:tc>
          <w:tcPr>
            <w:tcW w:w="2126" w:type="dxa"/>
            <w:shd w:val="clear" w:color="auto" w:fill="D9D9D9" w:themeFill="background1" w:themeFillShade="D9"/>
          </w:tcPr>
          <w:p w:rsidR="003A4EDE" w:rsidRPr="003A4EDE" w:rsidRDefault="003A4EDE" w:rsidP="003A4EDE">
            <w:pPr>
              <w:jc w:val="center"/>
              <w:rPr>
                <w:sz w:val="12"/>
              </w:rPr>
            </w:pPr>
            <w:r w:rsidRPr="003A4EDE">
              <w:rPr>
                <w:sz w:val="12"/>
              </w:rPr>
              <w:t>Additional mitigations</w:t>
            </w:r>
          </w:p>
        </w:tc>
        <w:tc>
          <w:tcPr>
            <w:tcW w:w="993" w:type="dxa"/>
            <w:shd w:val="clear" w:color="auto" w:fill="D9D9D9" w:themeFill="background1" w:themeFillShade="D9"/>
          </w:tcPr>
          <w:p w:rsidR="003A4EDE" w:rsidRPr="003A4EDE" w:rsidRDefault="003A4EDE" w:rsidP="005F37D0">
            <w:pPr>
              <w:jc w:val="center"/>
              <w:rPr>
                <w:sz w:val="12"/>
              </w:rPr>
            </w:pPr>
            <w:r w:rsidRPr="003A4EDE">
              <w:rPr>
                <w:sz w:val="12"/>
              </w:rPr>
              <w:t>Likelihood</w:t>
            </w:r>
          </w:p>
          <w:p w:rsidR="003A4EDE" w:rsidRPr="003A4EDE" w:rsidRDefault="003A4EDE" w:rsidP="003A4EDE">
            <w:pPr>
              <w:jc w:val="center"/>
              <w:rPr>
                <w:sz w:val="12"/>
              </w:rPr>
            </w:pPr>
          </w:p>
        </w:tc>
        <w:tc>
          <w:tcPr>
            <w:tcW w:w="992" w:type="dxa"/>
            <w:shd w:val="clear" w:color="auto" w:fill="D9D9D9" w:themeFill="background1" w:themeFillShade="D9"/>
          </w:tcPr>
          <w:p w:rsidR="003A4EDE" w:rsidRPr="003A4EDE" w:rsidRDefault="003A4EDE" w:rsidP="005F37D0">
            <w:pPr>
              <w:jc w:val="center"/>
              <w:rPr>
                <w:sz w:val="12"/>
              </w:rPr>
            </w:pPr>
            <w:r w:rsidRPr="003A4EDE">
              <w:rPr>
                <w:sz w:val="12"/>
              </w:rPr>
              <w:t>Consequence</w:t>
            </w:r>
          </w:p>
          <w:p w:rsidR="003A4EDE" w:rsidRPr="003A4EDE" w:rsidRDefault="003A4EDE" w:rsidP="003A4EDE">
            <w:pPr>
              <w:jc w:val="center"/>
              <w:rPr>
                <w:sz w:val="12"/>
              </w:rPr>
            </w:pPr>
          </w:p>
        </w:tc>
        <w:tc>
          <w:tcPr>
            <w:tcW w:w="1134" w:type="dxa"/>
            <w:shd w:val="clear" w:color="auto" w:fill="D9D9D9" w:themeFill="background1" w:themeFillShade="D9"/>
          </w:tcPr>
          <w:p w:rsidR="003A4EDE" w:rsidRPr="003A4EDE" w:rsidRDefault="00437A0D" w:rsidP="00437A0D">
            <w:pPr>
              <w:jc w:val="center"/>
              <w:rPr>
                <w:sz w:val="12"/>
              </w:rPr>
            </w:pPr>
            <w:r>
              <w:rPr>
                <w:sz w:val="12"/>
              </w:rPr>
              <w:t xml:space="preserve">Resultant </w:t>
            </w:r>
            <w:r w:rsidR="003A4EDE" w:rsidRPr="003A4EDE">
              <w:rPr>
                <w:sz w:val="12"/>
              </w:rPr>
              <w:t>Score</w:t>
            </w:r>
          </w:p>
        </w:tc>
      </w:tr>
      <w:tr w:rsidR="003A4EDE" w:rsidRPr="00165B79" w:rsidTr="00D430F4">
        <w:trPr>
          <w:trHeight w:val="2358"/>
        </w:trPr>
        <w:tc>
          <w:tcPr>
            <w:tcW w:w="1399" w:type="dxa"/>
          </w:tcPr>
          <w:p w:rsidR="003A4EDE" w:rsidRDefault="003A4EDE" w:rsidP="003A4EDE">
            <w:pPr>
              <w:rPr>
                <w:sz w:val="16"/>
              </w:rPr>
            </w:pPr>
            <w:r>
              <w:rPr>
                <w:sz w:val="16"/>
              </w:rPr>
              <w:t>[Create scenarios for assessment.</w:t>
            </w:r>
          </w:p>
          <w:p w:rsidR="003A4EDE" w:rsidRDefault="003A4EDE" w:rsidP="003A4EDE">
            <w:pPr>
              <w:rPr>
                <w:sz w:val="16"/>
              </w:rPr>
            </w:pPr>
          </w:p>
          <w:p w:rsidR="003A4EDE" w:rsidRPr="00B70D03" w:rsidRDefault="003A4EDE" w:rsidP="003A4EDE">
            <w:pPr>
              <w:rPr>
                <w:sz w:val="16"/>
              </w:rPr>
            </w:pPr>
            <w:r>
              <w:rPr>
                <w:sz w:val="16"/>
              </w:rPr>
              <w:t>This could be SOLAS vessels, or a specific type of vessel]</w:t>
            </w:r>
          </w:p>
          <w:p w:rsidR="003A4EDE" w:rsidRDefault="003A4EDE" w:rsidP="003A4EDE">
            <w:pPr>
              <w:rPr>
                <w:sz w:val="16"/>
              </w:rPr>
            </w:pPr>
          </w:p>
          <w:p w:rsidR="003A4EDE" w:rsidRPr="00165B79" w:rsidRDefault="003A4EDE" w:rsidP="003A4EDE">
            <w:pPr>
              <w:rPr>
                <w:sz w:val="16"/>
              </w:rPr>
            </w:pPr>
          </w:p>
        </w:tc>
        <w:tc>
          <w:tcPr>
            <w:tcW w:w="1391" w:type="dxa"/>
          </w:tcPr>
          <w:p w:rsidR="003A4EDE" w:rsidRDefault="003A4EDE" w:rsidP="003A4EDE">
            <w:pPr>
              <w:rPr>
                <w:sz w:val="16"/>
              </w:rPr>
            </w:pPr>
            <w:r>
              <w:rPr>
                <w:sz w:val="16"/>
              </w:rPr>
              <w:t>[describe the situation. For example</w:t>
            </w:r>
          </w:p>
          <w:p w:rsidR="003A4EDE" w:rsidRDefault="003A4EDE" w:rsidP="003A4EDE">
            <w:pPr>
              <w:rPr>
                <w:sz w:val="16"/>
              </w:rPr>
            </w:pPr>
          </w:p>
          <w:p w:rsidR="003A4EDE" w:rsidRDefault="003A4EDE" w:rsidP="003A4EDE">
            <w:pPr>
              <w:rPr>
                <w:sz w:val="16"/>
              </w:rPr>
            </w:pPr>
            <w:r>
              <w:rPr>
                <w:sz w:val="16"/>
              </w:rPr>
              <w:t>SOLAS vessel exits the two way route and grounds on XXXX shoal]</w:t>
            </w:r>
          </w:p>
          <w:p w:rsidR="003A4EDE" w:rsidRPr="00165B79" w:rsidRDefault="003A4EDE" w:rsidP="003A4EDE">
            <w:pPr>
              <w:rPr>
                <w:sz w:val="16"/>
              </w:rPr>
            </w:pPr>
          </w:p>
        </w:tc>
        <w:tc>
          <w:tcPr>
            <w:tcW w:w="2092" w:type="dxa"/>
          </w:tcPr>
          <w:p w:rsidR="003A4EDE" w:rsidRDefault="003A4EDE" w:rsidP="003A4EDE">
            <w:pPr>
              <w:rPr>
                <w:sz w:val="16"/>
              </w:rPr>
            </w:pPr>
            <w:r>
              <w:rPr>
                <w:sz w:val="16"/>
              </w:rPr>
              <w:t>[Consider the consequence. Possible consequences may include:</w:t>
            </w:r>
          </w:p>
          <w:p w:rsidR="003A4EDE" w:rsidRDefault="003A4EDE" w:rsidP="003A4EDE">
            <w:pPr>
              <w:pStyle w:val="ListParagraph"/>
              <w:numPr>
                <w:ilvl w:val="0"/>
                <w:numId w:val="23"/>
              </w:numPr>
              <w:rPr>
                <w:sz w:val="16"/>
              </w:rPr>
            </w:pPr>
            <w:r>
              <w:rPr>
                <w:sz w:val="16"/>
              </w:rPr>
              <w:t>Collision</w:t>
            </w:r>
          </w:p>
          <w:p w:rsidR="003A4EDE" w:rsidRDefault="003A4EDE" w:rsidP="003A4EDE">
            <w:pPr>
              <w:pStyle w:val="ListParagraph"/>
              <w:numPr>
                <w:ilvl w:val="0"/>
                <w:numId w:val="23"/>
              </w:numPr>
              <w:rPr>
                <w:sz w:val="16"/>
              </w:rPr>
            </w:pPr>
            <w:r>
              <w:rPr>
                <w:sz w:val="16"/>
              </w:rPr>
              <w:t>Grounding</w:t>
            </w:r>
          </w:p>
          <w:p w:rsidR="003A4EDE" w:rsidRDefault="003A4EDE" w:rsidP="003A4EDE">
            <w:pPr>
              <w:pStyle w:val="ListParagraph"/>
              <w:numPr>
                <w:ilvl w:val="0"/>
                <w:numId w:val="23"/>
              </w:numPr>
              <w:rPr>
                <w:sz w:val="16"/>
              </w:rPr>
            </w:pPr>
            <w:r>
              <w:rPr>
                <w:sz w:val="16"/>
              </w:rPr>
              <w:t>Pollution</w:t>
            </w:r>
          </w:p>
          <w:p w:rsidR="003A4EDE" w:rsidRDefault="003A4EDE" w:rsidP="003A4EDE">
            <w:pPr>
              <w:pStyle w:val="ListParagraph"/>
              <w:numPr>
                <w:ilvl w:val="0"/>
                <w:numId w:val="23"/>
              </w:numPr>
              <w:rPr>
                <w:sz w:val="16"/>
              </w:rPr>
            </w:pPr>
            <w:r>
              <w:rPr>
                <w:sz w:val="16"/>
              </w:rPr>
              <w:t>Loss of life</w:t>
            </w:r>
          </w:p>
          <w:p w:rsidR="003A4EDE" w:rsidRDefault="003A4EDE" w:rsidP="003A4EDE">
            <w:pPr>
              <w:pStyle w:val="ListParagraph"/>
              <w:numPr>
                <w:ilvl w:val="0"/>
                <w:numId w:val="23"/>
              </w:numPr>
              <w:rPr>
                <w:sz w:val="16"/>
              </w:rPr>
            </w:pPr>
            <w:r>
              <w:rPr>
                <w:sz w:val="16"/>
              </w:rPr>
              <w:t>Environmental damage</w:t>
            </w:r>
          </w:p>
          <w:p w:rsidR="003A4EDE" w:rsidRDefault="003A4EDE" w:rsidP="003A4EDE">
            <w:pPr>
              <w:pStyle w:val="ListParagraph"/>
              <w:numPr>
                <w:ilvl w:val="0"/>
                <w:numId w:val="23"/>
              </w:numPr>
              <w:rPr>
                <w:sz w:val="16"/>
              </w:rPr>
            </w:pPr>
            <w:r>
              <w:rPr>
                <w:sz w:val="16"/>
              </w:rPr>
              <w:t>Reputational damage</w:t>
            </w:r>
          </w:p>
          <w:p w:rsidR="003A4EDE" w:rsidRDefault="003A4EDE" w:rsidP="003A4EDE">
            <w:pPr>
              <w:pStyle w:val="ListParagraph"/>
              <w:numPr>
                <w:ilvl w:val="0"/>
                <w:numId w:val="23"/>
              </w:numPr>
              <w:rPr>
                <w:sz w:val="16"/>
              </w:rPr>
            </w:pPr>
            <w:r>
              <w:rPr>
                <w:sz w:val="16"/>
              </w:rPr>
              <w:t>Financial implications</w:t>
            </w:r>
          </w:p>
          <w:p w:rsidR="003A4EDE" w:rsidRPr="00590A28" w:rsidRDefault="003A4EDE" w:rsidP="003A4EDE">
            <w:pPr>
              <w:pStyle w:val="ListParagraph"/>
              <w:numPr>
                <w:ilvl w:val="0"/>
                <w:numId w:val="23"/>
              </w:numPr>
              <w:rPr>
                <w:sz w:val="16"/>
              </w:rPr>
            </w:pPr>
            <w:r>
              <w:rPr>
                <w:sz w:val="16"/>
              </w:rPr>
              <w:t>Etc</w:t>
            </w:r>
            <w:r w:rsidR="00AD4654">
              <w:rPr>
                <w:sz w:val="16"/>
              </w:rPr>
              <w:t>.</w:t>
            </w:r>
            <w:r>
              <w:rPr>
                <w:sz w:val="16"/>
              </w:rPr>
              <w:t>]</w:t>
            </w:r>
          </w:p>
          <w:p w:rsidR="003A4EDE" w:rsidRPr="00165B79" w:rsidRDefault="003A4EDE" w:rsidP="003A4EDE">
            <w:pPr>
              <w:rPr>
                <w:sz w:val="16"/>
              </w:rPr>
            </w:pPr>
          </w:p>
          <w:p w:rsidR="003A4EDE" w:rsidRPr="00165B79" w:rsidRDefault="003A4EDE" w:rsidP="003A4EDE">
            <w:pPr>
              <w:rPr>
                <w:sz w:val="16"/>
              </w:rPr>
            </w:pPr>
          </w:p>
        </w:tc>
        <w:tc>
          <w:tcPr>
            <w:tcW w:w="1256" w:type="dxa"/>
          </w:tcPr>
          <w:p w:rsidR="003A4EDE" w:rsidRDefault="003A4EDE" w:rsidP="003A4EDE">
            <w:pPr>
              <w:rPr>
                <w:sz w:val="16"/>
              </w:rPr>
            </w:pPr>
            <w:r>
              <w:rPr>
                <w:sz w:val="16"/>
              </w:rPr>
              <w:t>[include a summary of the existing mitigations as explained above</w:t>
            </w:r>
          </w:p>
          <w:p w:rsidR="003A4EDE" w:rsidRDefault="003A4EDE" w:rsidP="003A4EDE">
            <w:pPr>
              <w:rPr>
                <w:sz w:val="16"/>
              </w:rPr>
            </w:pPr>
          </w:p>
          <w:p w:rsidR="003A4EDE" w:rsidRDefault="003A4EDE" w:rsidP="003A4EDE">
            <w:pPr>
              <w:rPr>
                <w:sz w:val="16"/>
              </w:rPr>
            </w:pPr>
          </w:p>
          <w:p w:rsidR="003A4EDE" w:rsidRPr="00165B79" w:rsidRDefault="003A4EDE" w:rsidP="003A4EDE">
            <w:pPr>
              <w:rPr>
                <w:sz w:val="16"/>
              </w:rPr>
            </w:pPr>
          </w:p>
        </w:tc>
        <w:tc>
          <w:tcPr>
            <w:tcW w:w="950" w:type="dxa"/>
          </w:tcPr>
          <w:p w:rsidR="003A4EDE" w:rsidRDefault="003A4EDE" w:rsidP="003A4EDE">
            <w:pPr>
              <w:jc w:val="center"/>
              <w:rPr>
                <w:sz w:val="16"/>
              </w:rPr>
            </w:pPr>
            <w:r>
              <w:rPr>
                <w:sz w:val="16"/>
              </w:rPr>
              <w:t>(1-5)</w:t>
            </w:r>
          </w:p>
          <w:p w:rsidR="002E5060" w:rsidRDefault="002E5060" w:rsidP="003A4EDE">
            <w:pPr>
              <w:jc w:val="center"/>
              <w:rPr>
                <w:sz w:val="16"/>
              </w:rPr>
            </w:pPr>
          </w:p>
          <w:p w:rsidR="002E5060" w:rsidRDefault="002E5060" w:rsidP="003A4EDE">
            <w:pPr>
              <w:jc w:val="center"/>
              <w:rPr>
                <w:sz w:val="16"/>
              </w:rPr>
            </w:pPr>
          </w:p>
          <w:p w:rsidR="002E5060" w:rsidRPr="00165B79" w:rsidRDefault="002E5060" w:rsidP="00437A0D">
            <w:pPr>
              <w:jc w:val="center"/>
              <w:rPr>
                <w:sz w:val="16"/>
              </w:rPr>
            </w:pPr>
            <w:r w:rsidRPr="002E5060">
              <w:rPr>
                <w:sz w:val="12"/>
              </w:rPr>
              <w:t>[</w:t>
            </w:r>
            <w:r w:rsidR="00437A0D">
              <w:rPr>
                <w:sz w:val="12"/>
              </w:rPr>
              <w:t>N</w:t>
            </w:r>
            <w:r w:rsidRPr="002E5060">
              <w:rPr>
                <w:sz w:val="12"/>
              </w:rPr>
              <w:t>umber based on ready reckoning guide at annex 5 of this template]</w:t>
            </w:r>
          </w:p>
        </w:tc>
        <w:tc>
          <w:tcPr>
            <w:tcW w:w="992" w:type="dxa"/>
          </w:tcPr>
          <w:p w:rsidR="003A4EDE" w:rsidRDefault="003A4EDE" w:rsidP="003A4EDE">
            <w:pPr>
              <w:jc w:val="center"/>
              <w:rPr>
                <w:sz w:val="16"/>
              </w:rPr>
            </w:pPr>
            <w:r>
              <w:rPr>
                <w:sz w:val="16"/>
              </w:rPr>
              <w:t>(1-5)</w:t>
            </w:r>
          </w:p>
          <w:p w:rsidR="002E5060" w:rsidRDefault="002E5060" w:rsidP="003A4EDE">
            <w:pPr>
              <w:jc w:val="center"/>
              <w:rPr>
                <w:sz w:val="16"/>
              </w:rPr>
            </w:pPr>
          </w:p>
          <w:p w:rsidR="002E5060" w:rsidRDefault="002E5060" w:rsidP="003A4EDE">
            <w:pPr>
              <w:jc w:val="center"/>
              <w:rPr>
                <w:sz w:val="16"/>
              </w:rPr>
            </w:pPr>
          </w:p>
          <w:p w:rsidR="002E5060" w:rsidRPr="00165B79" w:rsidRDefault="00437A0D" w:rsidP="002E5060">
            <w:pPr>
              <w:jc w:val="center"/>
              <w:rPr>
                <w:sz w:val="16"/>
              </w:rPr>
            </w:pPr>
            <w:r w:rsidRPr="002E5060">
              <w:rPr>
                <w:sz w:val="12"/>
              </w:rPr>
              <w:t>[</w:t>
            </w:r>
            <w:r>
              <w:rPr>
                <w:sz w:val="12"/>
              </w:rPr>
              <w:t>N</w:t>
            </w:r>
            <w:r w:rsidRPr="002E5060">
              <w:rPr>
                <w:sz w:val="12"/>
              </w:rPr>
              <w:t>umber based on ready reckoning guide at annex 5 of this template]</w:t>
            </w:r>
          </w:p>
        </w:tc>
        <w:tc>
          <w:tcPr>
            <w:tcW w:w="1134" w:type="dxa"/>
            <w:shd w:val="clear" w:color="auto" w:fill="E36C0A" w:themeFill="accent6" w:themeFillShade="BF"/>
          </w:tcPr>
          <w:p w:rsidR="003A4EDE" w:rsidRDefault="004F2266" w:rsidP="003A4EDE">
            <w:pPr>
              <w:jc w:val="center"/>
              <w:rPr>
                <w:b/>
                <w:sz w:val="16"/>
              </w:rPr>
            </w:pPr>
            <w:r>
              <w:rPr>
                <w:b/>
                <w:sz w:val="16"/>
              </w:rPr>
              <w:t>(1-5</w:t>
            </w:r>
            <w:r w:rsidR="003A4EDE">
              <w:rPr>
                <w:b/>
                <w:sz w:val="16"/>
              </w:rPr>
              <w:t xml:space="preserve">) </w:t>
            </w:r>
          </w:p>
          <w:p w:rsidR="002F6418" w:rsidRDefault="002F6418" w:rsidP="003A4EDE">
            <w:pPr>
              <w:jc w:val="center"/>
              <w:rPr>
                <w:b/>
                <w:sz w:val="16"/>
              </w:rPr>
            </w:pPr>
          </w:p>
          <w:p w:rsidR="002F6418" w:rsidRPr="00302708" w:rsidRDefault="002F6418" w:rsidP="003A4EDE">
            <w:pPr>
              <w:jc w:val="center"/>
              <w:rPr>
                <w:b/>
                <w:sz w:val="16"/>
              </w:rPr>
            </w:pPr>
            <w:r w:rsidRPr="002E5060">
              <w:rPr>
                <w:sz w:val="12"/>
              </w:rPr>
              <w:t>[Colour and number based on ready reckoning guide at annex 5 of this template]</w:t>
            </w:r>
          </w:p>
        </w:tc>
        <w:tc>
          <w:tcPr>
            <w:tcW w:w="2126" w:type="dxa"/>
          </w:tcPr>
          <w:p w:rsidR="003A4EDE" w:rsidRDefault="003A4EDE" w:rsidP="003A4EDE">
            <w:pPr>
              <w:rPr>
                <w:sz w:val="16"/>
              </w:rPr>
            </w:pPr>
            <w:r>
              <w:rPr>
                <w:sz w:val="16"/>
              </w:rPr>
              <w:t>[Include any possible risk controls]</w:t>
            </w:r>
          </w:p>
          <w:p w:rsidR="003A4EDE" w:rsidRDefault="003A4EDE" w:rsidP="003A4EDE">
            <w:pPr>
              <w:rPr>
                <w:sz w:val="16"/>
              </w:rPr>
            </w:pPr>
          </w:p>
          <w:p w:rsidR="003A4EDE" w:rsidRPr="00165B79" w:rsidRDefault="003A4EDE" w:rsidP="003A4EDE">
            <w:pPr>
              <w:rPr>
                <w:sz w:val="16"/>
              </w:rPr>
            </w:pPr>
          </w:p>
        </w:tc>
        <w:tc>
          <w:tcPr>
            <w:tcW w:w="993" w:type="dxa"/>
          </w:tcPr>
          <w:p w:rsidR="003A4EDE" w:rsidRDefault="003A4EDE" w:rsidP="003A4EDE">
            <w:pPr>
              <w:rPr>
                <w:sz w:val="16"/>
              </w:rPr>
            </w:pPr>
            <w:r>
              <w:rPr>
                <w:sz w:val="16"/>
              </w:rPr>
              <w:t>(1-5)</w:t>
            </w:r>
          </w:p>
          <w:p w:rsidR="002F6418" w:rsidRDefault="002F6418" w:rsidP="003A4EDE">
            <w:pPr>
              <w:rPr>
                <w:sz w:val="16"/>
              </w:rPr>
            </w:pPr>
          </w:p>
          <w:p w:rsidR="00437A0D" w:rsidRDefault="00437A0D" w:rsidP="003A4EDE">
            <w:pPr>
              <w:rPr>
                <w:sz w:val="12"/>
              </w:rPr>
            </w:pPr>
          </w:p>
          <w:p w:rsidR="002F6418" w:rsidRPr="00165B79" w:rsidRDefault="00437A0D" w:rsidP="003A4EDE">
            <w:r w:rsidRPr="002E5060">
              <w:rPr>
                <w:sz w:val="12"/>
              </w:rPr>
              <w:t>[</w:t>
            </w:r>
            <w:r>
              <w:rPr>
                <w:sz w:val="12"/>
              </w:rPr>
              <w:t>N</w:t>
            </w:r>
            <w:r w:rsidRPr="002E5060">
              <w:rPr>
                <w:sz w:val="12"/>
              </w:rPr>
              <w:t>umber based on ready reckoning guide at annex 5 of this template]</w:t>
            </w:r>
          </w:p>
        </w:tc>
        <w:tc>
          <w:tcPr>
            <w:tcW w:w="992" w:type="dxa"/>
          </w:tcPr>
          <w:p w:rsidR="003A4EDE" w:rsidRDefault="003A4EDE" w:rsidP="003A4EDE">
            <w:pPr>
              <w:rPr>
                <w:sz w:val="16"/>
              </w:rPr>
            </w:pPr>
            <w:r>
              <w:rPr>
                <w:sz w:val="16"/>
              </w:rPr>
              <w:t>(1-5)</w:t>
            </w:r>
          </w:p>
          <w:p w:rsidR="002F6418" w:rsidRPr="002F6418" w:rsidRDefault="002F6418" w:rsidP="003A4EDE">
            <w:pPr>
              <w:rPr>
                <w:sz w:val="16"/>
              </w:rPr>
            </w:pPr>
          </w:p>
          <w:p w:rsidR="00437A0D" w:rsidRDefault="00437A0D" w:rsidP="003A4EDE">
            <w:pPr>
              <w:rPr>
                <w:sz w:val="12"/>
              </w:rPr>
            </w:pPr>
          </w:p>
          <w:p w:rsidR="002F6418" w:rsidRPr="00165B79" w:rsidRDefault="00437A0D" w:rsidP="003A4EDE">
            <w:r w:rsidRPr="002E5060">
              <w:rPr>
                <w:sz w:val="12"/>
              </w:rPr>
              <w:t>[</w:t>
            </w:r>
            <w:r>
              <w:rPr>
                <w:sz w:val="12"/>
              </w:rPr>
              <w:t>N</w:t>
            </w:r>
            <w:r w:rsidRPr="002E5060">
              <w:rPr>
                <w:sz w:val="12"/>
              </w:rPr>
              <w:t>umber based on ready reckoning guide at annex 5 of this template]</w:t>
            </w:r>
          </w:p>
        </w:tc>
        <w:tc>
          <w:tcPr>
            <w:tcW w:w="1134" w:type="dxa"/>
            <w:shd w:val="clear" w:color="auto" w:fill="00B050"/>
          </w:tcPr>
          <w:p w:rsidR="003A4EDE" w:rsidRDefault="00437A0D" w:rsidP="003A4EDE">
            <w:pPr>
              <w:rPr>
                <w:b/>
                <w:sz w:val="16"/>
              </w:rPr>
            </w:pPr>
            <w:r>
              <w:rPr>
                <w:b/>
                <w:sz w:val="16"/>
              </w:rPr>
              <w:t>(1-5</w:t>
            </w:r>
            <w:r w:rsidR="003A4EDE">
              <w:rPr>
                <w:b/>
                <w:sz w:val="16"/>
              </w:rPr>
              <w:t xml:space="preserve">) </w:t>
            </w:r>
          </w:p>
          <w:p w:rsidR="002F6418" w:rsidRDefault="002F6418" w:rsidP="003A4EDE">
            <w:pPr>
              <w:rPr>
                <w:b/>
                <w:sz w:val="16"/>
              </w:rPr>
            </w:pPr>
          </w:p>
          <w:p w:rsidR="002F6418" w:rsidRPr="00165B79" w:rsidRDefault="002F6418" w:rsidP="003A4EDE">
            <w:r w:rsidRPr="002E5060">
              <w:rPr>
                <w:sz w:val="12"/>
              </w:rPr>
              <w:t>[Colour and number based on ready reckoning guide at annex 5 of this template]</w:t>
            </w:r>
          </w:p>
        </w:tc>
      </w:tr>
      <w:tr w:rsidR="003A4EDE" w:rsidRPr="00165B79" w:rsidTr="002F6418">
        <w:trPr>
          <w:trHeight w:val="2358"/>
        </w:trPr>
        <w:tc>
          <w:tcPr>
            <w:tcW w:w="1399" w:type="dxa"/>
          </w:tcPr>
          <w:p w:rsidR="003A4EDE" w:rsidRPr="00B70D03" w:rsidRDefault="003A4EDE" w:rsidP="003A4EDE">
            <w:pPr>
              <w:rPr>
                <w:sz w:val="16"/>
              </w:rPr>
            </w:pPr>
            <w:r>
              <w:rPr>
                <w:sz w:val="16"/>
              </w:rPr>
              <w:t>[insert as many scenarios as necessary]</w:t>
            </w:r>
          </w:p>
        </w:tc>
        <w:tc>
          <w:tcPr>
            <w:tcW w:w="1391" w:type="dxa"/>
          </w:tcPr>
          <w:p w:rsidR="003A4EDE" w:rsidRDefault="003A4EDE" w:rsidP="003A4EDE">
            <w:pPr>
              <w:rPr>
                <w:sz w:val="16"/>
              </w:rPr>
            </w:pPr>
          </w:p>
        </w:tc>
        <w:tc>
          <w:tcPr>
            <w:tcW w:w="2092" w:type="dxa"/>
          </w:tcPr>
          <w:p w:rsidR="003A4EDE" w:rsidRDefault="003A4EDE" w:rsidP="003A4EDE">
            <w:pPr>
              <w:rPr>
                <w:sz w:val="16"/>
              </w:rPr>
            </w:pPr>
          </w:p>
        </w:tc>
        <w:tc>
          <w:tcPr>
            <w:tcW w:w="1256" w:type="dxa"/>
          </w:tcPr>
          <w:p w:rsidR="003A4EDE" w:rsidRDefault="003A4EDE" w:rsidP="003A4EDE">
            <w:pPr>
              <w:rPr>
                <w:sz w:val="16"/>
              </w:rPr>
            </w:pPr>
          </w:p>
        </w:tc>
        <w:tc>
          <w:tcPr>
            <w:tcW w:w="950" w:type="dxa"/>
          </w:tcPr>
          <w:p w:rsidR="003A4EDE" w:rsidRDefault="003A4EDE" w:rsidP="003A4EDE">
            <w:pPr>
              <w:jc w:val="center"/>
              <w:rPr>
                <w:sz w:val="16"/>
              </w:rPr>
            </w:pPr>
          </w:p>
        </w:tc>
        <w:tc>
          <w:tcPr>
            <w:tcW w:w="992" w:type="dxa"/>
          </w:tcPr>
          <w:p w:rsidR="003A4EDE" w:rsidRDefault="003A4EDE" w:rsidP="003A4EDE">
            <w:pPr>
              <w:jc w:val="center"/>
              <w:rPr>
                <w:sz w:val="16"/>
              </w:rPr>
            </w:pPr>
          </w:p>
        </w:tc>
        <w:tc>
          <w:tcPr>
            <w:tcW w:w="1134" w:type="dxa"/>
            <w:shd w:val="clear" w:color="auto" w:fill="auto"/>
          </w:tcPr>
          <w:p w:rsidR="003A4EDE" w:rsidRPr="00302708" w:rsidRDefault="003A4EDE" w:rsidP="003A4EDE">
            <w:pPr>
              <w:jc w:val="center"/>
              <w:rPr>
                <w:b/>
                <w:sz w:val="16"/>
              </w:rPr>
            </w:pPr>
          </w:p>
        </w:tc>
        <w:tc>
          <w:tcPr>
            <w:tcW w:w="2126" w:type="dxa"/>
          </w:tcPr>
          <w:p w:rsidR="003A4EDE" w:rsidRDefault="003A4EDE" w:rsidP="003A4EDE">
            <w:pPr>
              <w:rPr>
                <w:sz w:val="16"/>
              </w:rPr>
            </w:pPr>
          </w:p>
        </w:tc>
        <w:tc>
          <w:tcPr>
            <w:tcW w:w="993" w:type="dxa"/>
          </w:tcPr>
          <w:p w:rsidR="003A4EDE" w:rsidRPr="00165B79" w:rsidRDefault="003A4EDE" w:rsidP="003A4EDE"/>
        </w:tc>
        <w:tc>
          <w:tcPr>
            <w:tcW w:w="992" w:type="dxa"/>
          </w:tcPr>
          <w:p w:rsidR="003A4EDE" w:rsidRPr="00165B79" w:rsidRDefault="003A4EDE" w:rsidP="003A4EDE"/>
        </w:tc>
        <w:tc>
          <w:tcPr>
            <w:tcW w:w="1134" w:type="dxa"/>
            <w:shd w:val="clear" w:color="auto" w:fill="auto"/>
          </w:tcPr>
          <w:p w:rsidR="003A4EDE" w:rsidRPr="00165B79" w:rsidRDefault="003A4EDE" w:rsidP="003A4EDE"/>
        </w:tc>
      </w:tr>
    </w:tbl>
    <w:p w:rsidR="00AC594F" w:rsidRDefault="00AC594F" w:rsidP="003A4EDE">
      <w:pPr>
        <w:pStyle w:val="Heading2"/>
        <w:numPr>
          <w:ilvl w:val="0"/>
          <w:numId w:val="0"/>
        </w:numPr>
      </w:pPr>
    </w:p>
    <w:p w:rsidR="00AC594F" w:rsidRDefault="00AC594F" w:rsidP="00AC594F">
      <w:pPr>
        <w:rPr>
          <w:rFonts w:asciiTheme="majorHAnsi" w:eastAsiaTheme="majorEastAsia" w:hAnsiTheme="majorHAnsi" w:cstheme="majorBidi"/>
          <w:b/>
          <w:bCs/>
          <w:color w:val="4F81BD" w:themeColor="accent1"/>
          <w:sz w:val="26"/>
          <w:szCs w:val="26"/>
        </w:rPr>
      </w:pPr>
      <w:r>
        <w:br w:type="page"/>
      </w:r>
    </w:p>
    <w:p w:rsidR="00AC594F" w:rsidRDefault="00AC594F" w:rsidP="00AC594F">
      <w:pPr>
        <w:pStyle w:val="Heading2"/>
      </w:pPr>
      <w:r>
        <w:lastRenderedPageBreak/>
        <w:t xml:space="preserve">Annex 2 - Exploration of </w:t>
      </w:r>
      <w:r w:rsidR="002F6418">
        <w:t xml:space="preserve">proposed </w:t>
      </w:r>
      <w:r w:rsidR="003A4EDE">
        <w:t>risk controls</w:t>
      </w:r>
      <w:r w:rsidR="002F6418">
        <w:t xml:space="preserve"> (Optional inclusion)</w:t>
      </w:r>
    </w:p>
    <w:tbl>
      <w:tblPr>
        <w:tblStyle w:val="TableGrid"/>
        <w:tblW w:w="0" w:type="auto"/>
        <w:tblLook w:val="04A0" w:firstRow="1" w:lastRow="0" w:firstColumn="1" w:lastColumn="0" w:noHBand="0" w:noVBand="1"/>
      </w:tblPr>
      <w:tblGrid>
        <w:gridCol w:w="3256"/>
        <w:gridCol w:w="7087"/>
        <w:gridCol w:w="3544"/>
      </w:tblGrid>
      <w:tr w:rsidR="00AC594F" w:rsidTr="002F6418">
        <w:tc>
          <w:tcPr>
            <w:tcW w:w="3256" w:type="dxa"/>
            <w:shd w:val="clear" w:color="auto" w:fill="D9D9D9" w:themeFill="background1" w:themeFillShade="D9"/>
          </w:tcPr>
          <w:p w:rsidR="00AC594F" w:rsidRDefault="00AC594F" w:rsidP="003A4EDE">
            <w:r>
              <w:t xml:space="preserve">Additional </w:t>
            </w:r>
            <w:r w:rsidR="003A4EDE">
              <w:t>risk control</w:t>
            </w:r>
          </w:p>
        </w:tc>
        <w:tc>
          <w:tcPr>
            <w:tcW w:w="7087" w:type="dxa"/>
            <w:shd w:val="clear" w:color="auto" w:fill="D9D9D9" w:themeFill="background1" w:themeFillShade="D9"/>
          </w:tcPr>
          <w:p w:rsidR="00AC594F" w:rsidRDefault="00AC594F" w:rsidP="005F37D0">
            <w:r>
              <w:t xml:space="preserve">Description and implications </w:t>
            </w:r>
          </w:p>
        </w:tc>
        <w:tc>
          <w:tcPr>
            <w:tcW w:w="3544" w:type="dxa"/>
            <w:shd w:val="clear" w:color="auto" w:fill="D9D9D9" w:themeFill="background1" w:themeFillShade="D9"/>
          </w:tcPr>
          <w:p w:rsidR="00AC594F" w:rsidRDefault="00AC594F" w:rsidP="005F37D0">
            <w:r>
              <w:t>Practical and reasonable</w:t>
            </w:r>
            <w:r w:rsidR="002F6418">
              <w:t>?</w:t>
            </w:r>
            <w:r>
              <w:t xml:space="preserve"> (Y/N)</w:t>
            </w:r>
          </w:p>
        </w:tc>
      </w:tr>
      <w:tr w:rsidR="00AC594F" w:rsidTr="002F6418">
        <w:tc>
          <w:tcPr>
            <w:tcW w:w="3256" w:type="dxa"/>
          </w:tcPr>
          <w:p w:rsidR="00AC594F" w:rsidRDefault="00AC594F" w:rsidP="005F37D0"/>
        </w:tc>
        <w:tc>
          <w:tcPr>
            <w:tcW w:w="7087" w:type="dxa"/>
          </w:tcPr>
          <w:p w:rsidR="00AC594F" w:rsidRPr="00AC561D" w:rsidRDefault="00AC594F" w:rsidP="005F37D0">
            <w:pPr>
              <w:rPr>
                <w:sz w:val="16"/>
              </w:rPr>
            </w:pPr>
          </w:p>
        </w:tc>
        <w:tc>
          <w:tcPr>
            <w:tcW w:w="3544" w:type="dxa"/>
            <w:shd w:val="clear" w:color="auto" w:fill="auto"/>
          </w:tcPr>
          <w:p w:rsidR="00AC594F" w:rsidRPr="00AC561D" w:rsidRDefault="00AC594F" w:rsidP="005F37D0">
            <w:pPr>
              <w:rPr>
                <w:sz w:val="18"/>
              </w:rPr>
            </w:pPr>
          </w:p>
        </w:tc>
      </w:tr>
      <w:tr w:rsidR="00AC594F" w:rsidTr="002F6418">
        <w:tc>
          <w:tcPr>
            <w:tcW w:w="3256" w:type="dxa"/>
          </w:tcPr>
          <w:p w:rsidR="00AC594F" w:rsidRDefault="00AC594F" w:rsidP="005F37D0">
            <w:pPr>
              <w:rPr>
                <w:sz w:val="16"/>
              </w:rPr>
            </w:pPr>
          </w:p>
        </w:tc>
        <w:tc>
          <w:tcPr>
            <w:tcW w:w="7087" w:type="dxa"/>
          </w:tcPr>
          <w:p w:rsidR="00AC594F" w:rsidRDefault="00AC594F" w:rsidP="005F37D0">
            <w:pPr>
              <w:rPr>
                <w:sz w:val="16"/>
              </w:rPr>
            </w:pPr>
          </w:p>
        </w:tc>
        <w:tc>
          <w:tcPr>
            <w:tcW w:w="3544" w:type="dxa"/>
            <w:shd w:val="clear" w:color="auto" w:fill="auto"/>
          </w:tcPr>
          <w:p w:rsidR="00AC594F" w:rsidRPr="00AC561D" w:rsidRDefault="00AC594F" w:rsidP="005F37D0">
            <w:pPr>
              <w:rPr>
                <w:sz w:val="18"/>
              </w:rPr>
            </w:pPr>
          </w:p>
        </w:tc>
      </w:tr>
      <w:tr w:rsidR="00AC594F" w:rsidTr="002F6418">
        <w:tc>
          <w:tcPr>
            <w:tcW w:w="3256" w:type="dxa"/>
          </w:tcPr>
          <w:p w:rsidR="00AC594F" w:rsidRDefault="00AC594F" w:rsidP="005F37D0">
            <w:pPr>
              <w:rPr>
                <w:sz w:val="16"/>
              </w:rPr>
            </w:pPr>
          </w:p>
        </w:tc>
        <w:tc>
          <w:tcPr>
            <w:tcW w:w="7087" w:type="dxa"/>
          </w:tcPr>
          <w:p w:rsidR="00AC594F" w:rsidRDefault="00AC594F" w:rsidP="005F37D0">
            <w:pPr>
              <w:rPr>
                <w:sz w:val="16"/>
              </w:rPr>
            </w:pPr>
          </w:p>
        </w:tc>
        <w:tc>
          <w:tcPr>
            <w:tcW w:w="3544" w:type="dxa"/>
            <w:shd w:val="clear" w:color="auto" w:fill="auto"/>
          </w:tcPr>
          <w:p w:rsidR="00AC594F" w:rsidRDefault="00AC594F" w:rsidP="005F37D0">
            <w:pPr>
              <w:rPr>
                <w:sz w:val="18"/>
              </w:rPr>
            </w:pPr>
          </w:p>
        </w:tc>
      </w:tr>
      <w:tr w:rsidR="00AC594F" w:rsidTr="002F6418">
        <w:tc>
          <w:tcPr>
            <w:tcW w:w="3256" w:type="dxa"/>
          </w:tcPr>
          <w:p w:rsidR="00AC594F" w:rsidRDefault="00AC594F" w:rsidP="005F37D0"/>
        </w:tc>
        <w:tc>
          <w:tcPr>
            <w:tcW w:w="7087" w:type="dxa"/>
          </w:tcPr>
          <w:p w:rsidR="00AC594F" w:rsidRPr="00AC561D" w:rsidRDefault="00AC594F" w:rsidP="005F37D0">
            <w:pPr>
              <w:rPr>
                <w:sz w:val="16"/>
              </w:rPr>
            </w:pPr>
          </w:p>
        </w:tc>
        <w:tc>
          <w:tcPr>
            <w:tcW w:w="3544" w:type="dxa"/>
            <w:shd w:val="clear" w:color="auto" w:fill="auto"/>
          </w:tcPr>
          <w:p w:rsidR="00AC594F" w:rsidRPr="00AC561D" w:rsidRDefault="00AC594F" w:rsidP="005F37D0">
            <w:pPr>
              <w:rPr>
                <w:sz w:val="18"/>
              </w:rPr>
            </w:pPr>
          </w:p>
        </w:tc>
      </w:tr>
      <w:tr w:rsidR="00AC594F" w:rsidTr="002F6418">
        <w:tc>
          <w:tcPr>
            <w:tcW w:w="3256" w:type="dxa"/>
          </w:tcPr>
          <w:p w:rsidR="00AC594F" w:rsidRDefault="00AC594F" w:rsidP="005F37D0"/>
        </w:tc>
        <w:tc>
          <w:tcPr>
            <w:tcW w:w="7087" w:type="dxa"/>
          </w:tcPr>
          <w:p w:rsidR="00AC594F" w:rsidRPr="00AC561D" w:rsidRDefault="00AC594F" w:rsidP="005F37D0">
            <w:pPr>
              <w:rPr>
                <w:sz w:val="16"/>
              </w:rPr>
            </w:pPr>
          </w:p>
        </w:tc>
        <w:tc>
          <w:tcPr>
            <w:tcW w:w="3544" w:type="dxa"/>
            <w:shd w:val="clear" w:color="auto" w:fill="auto"/>
          </w:tcPr>
          <w:p w:rsidR="00AC594F" w:rsidRPr="00AC561D" w:rsidRDefault="00AC594F" w:rsidP="005F37D0">
            <w:pPr>
              <w:rPr>
                <w:sz w:val="18"/>
              </w:rPr>
            </w:pPr>
          </w:p>
        </w:tc>
      </w:tr>
      <w:tr w:rsidR="00AC594F" w:rsidTr="002F6418">
        <w:tc>
          <w:tcPr>
            <w:tcW w:w="3256" w:type="dxa"/>
          </w:tcPr>
          <w:p w:rsidR="00AC594F" w:rsidRDefault="00AC594F" w:rsidP="005F37D0"/>
        </w:tc>
        <w:tc>
          <w:tcPr>
            <w:tcW w:w="7087" w:type="dxa"/>
          </w:tcPr>
          <w:p w:rsidR="00AC594F" w:rsidRPr="00AC561D" w:rsidRDefault="00AC594F" w:rsidP="005F37D0">
            <w:pPr>
              <w:rPr>
                <w:sz w:val="16"/>
              </w:rPr>
            </w:pPr>
          </w:p>
        </w:tc>
        <w:tc>
          <w:tcPr>
            <w:tcW w:w="3544" w:type="dxa"/>
            <w:shd w:val="clear" w:color="auto" w:fill="auto"/>
          </w:tcPr>
          <w:p w:rsidR="00AC594F" w:rsidRPr="00AC561D" w:rsidRDefault="00AC594F" w:rsidP="005F37D0">
            <w:pPr>
              <w:rPr>
                <w:sz w:val="18"/>
              </w:rPr>
            </w:pPr>
          </w:p>
        </w:tc>
      </w:tr>
      <w:tr w:rsidR="00AC594F" w:rsidTr="002F6418">
        <w:tc>
          <w:tcPr>
            <w:tcW w:w="3256" w:type="dxa"/>
          </w:tcPr>
          <w:p w:rsidR="00AC594F" w:rsidRDefault="00AC594F" w:rsidP="005F37D0"/>
        </w:tc>
        <w:tc>
          <w:tcPr>
            <w:tcW w:w="7087" w:type="dxa"/>
          </w:tcPr>
          <w:p w:rsidR="00AC594F" w:rsidRPr="00AC561D" w:rsidRDefault="00AC594F" w:rsidP="005F37D0">
            <w:pPr>
              <w:rPr>
                <w:sz w:val="16"/>
              </w:rPr>
            </w:pPr>
          </w:p>
        </w:tc>
        <w:tc>
          <w:tcPr>
            <w:tcW w:w="3544" w:type="dxa"/>
            <w:shd w:val="clear" w:color="auto" w:fill="auto"/>
          </w:tcPr>
          <w:p w:rsidR="00AC594F" w:rsidRPr="00AC561D" w:rsidRDefault="00AC594F" w:rsidP="005F37D0">
            <w:pPr>
              <w:rPr>
                <w:sz w:val="18"/>
              </w:rPr>
            </w:pPr>
          </w:p>
        </w:tc>
      </w:tr>
      <w:tr w:rsidR="00AC594F" w:rsidTr="002F6418">
        <w:tc>
          <w:tcPr>
            <w:tcW w:w="3256" w:type="dxa"/>
          </w:tcPr>
          <w:p w:rsidR="00AC594F" w:rsidRDefault="00AC594F" w:rsidP="005F37D0"/>
        </w:tc>
        <w:tc>
          <w:tcPr>
            <w:tcW w:w="7087" w:type="dxa"/>
          </w:tcPr>
          <w:p w:rsidR="00AC594F" w:rsidRPr="000C7FB4" w:rsidRDefault="00AC594F" w:rsidP="005F37D0">
            <w:pPr>
              <w:rPr>
                <w:sz w:val="16"/>
              </w:rPr>
            </w:pPr>
          </w:p>
        </w:tc>
        <w:tc>
          <w:tcPr>
            <w:tcW w:w="3544" w:type="dxa"/>
            <w:shd w:val="clear" w:color="auto" w:fill="auto"/>
          </w:tcPr>
          <w:p w:rsidR="00AC594F" w:rsidRPr="000C7FB4" w:rsidRDefault="00AC594F" w:rsidP="005F37D0">
            <w:pPr>
              <w:rPr>
                <w:sz w:val="18"/>
              </w:rPr>
            </w:pPr>
          </w:p>
        </w:tc>
      </w:tr>
    </w:tbl>
    <w:p w:rsidR="00AC594F" w:rsidRDefault="00AC594F" w:rsidP="00AC594F">
      <w:pPr>
        <w:rPr>
          <w:rFonts w:cs="Arial"/>
        </w:rPr>
      </w:pPr>
    </w:p>
    <w:p w:rsidR="00AC594F" w:rsidRDefault="00AC594F" w:rsidP="00AC594F">
      <w:pPr>
        <w:jc w:val="both"/>
        <w:rPr>
          <w:rFonts w:cs="Arial"/>
        </w:rPr>
        <w:sectPr w:rsidR="00AC594F" w:rsidSect="00302708">
          <w:pgSz w:w="16838" w:h="11906" w:orient="landscape"/>
          <w:pgMar w:top="709" w:right="709" w:bottom="993" w:left="1440" w:header="708" w:footer="708" w:gutter="0"/>
          <w:cols w:space="708"/>
          <w:docGrid w:linePitch="360"/>
        </w:sectPr>
      </w:pPr>
    </w:p>
    <w:p w:rsidR="00AC594F" w:rsidRDefault="00AC594F" w:rsidP="00AC594F">
      <w:pPr>
        <w:pStyle w:val="Heading2"/>
      </w:pPr>
      <w:r w:rsidRPr="00802652">
        <w:lastRenderedPageBreak/>
        <w:t>Annex 3 – Traffic Plot</w:t>
      </w:r>
      <w:r>
        <w:t>s</w:t>
      </w:r>
      <w:r w:rsidRPr="00802652">
        <w:t xml:space="preserve"> </w:t>
      </w:r>
    </w:p>
    <w:p w:rsidR="00AC594F" w:rsidRDefault="00AE0AD8" w:rsidP="00AE0AD8">
      <w:pPr>
        <w:rPr>
          <w:rStyle w:val="Heading2Char"/>
        </w:rPr>
      </w:pPr>
      <w:r>
        <w:t xml:space="preserve">[Any traffic plots should be included with the risk assessment.  Traffic plots should be </w:t>
      </w:r>
      <w:r w:rsidR="002E573F">
        <w:t xml:space="preserve">backed-up </w:t>
      </w:r>
      <w:r>
        <w:t xml:space="preserve">with relevant information about the dataset used] </w:t>
      </w:r>
      <w:r w:rsidR="00AC594F">
        <w:br w:type="page"/>
      </w:r>
      <w:r w:rsidR="00AC594F" w:rsidRPr="00520B40">
        <w:rPr>
          <w:rStyle w:val="Heading2Char"/>
        </w:rPr>
        <w:lastRenderedPageBreak/>
        <w:t xml:space="preserve">Annex 4 – </w:t>
      </w:r>
      <w:r>
        <w:rPr>
          <w:rStyle w:val="Heading2Char"/>
        </w:rPr>
        <w:t>Additional information</w:t>
      </w:r>
    </w:p>
    <w:p w:rsidR="002F6418" w:rsidRDefault="002F6418" w:rsidP="00AE0AD8">
      <w:pPr>
        <w:rPr>
          <w:rStyle w:val="Heading2Char"/>
        </w:rPr>
      </w:pPr>
    </w:p>
    <w:p w:rsidR="002F6418" w:rsidRDefault="002F6418" w:rsidP="002F6418">
      <w:pPr>
        <w:pStyle w:val="BodyText"/>
        <w:rPr>
          <w:rStyle w:val="Heading2Char"/>
          <w:b w:val="0"/>
          <w:color w:val="auto"/>
          <w:sz w:val="22"/>
          <w:szCs w:val="22"/>
        </w:rPr>
      </w:pPr>
      <w:r w:rsidRPr="002F6418">
        <w:rPr>
          <w:rStyle w:val="Heading2Char"/>
          <w:b w:val="0"/>
          <w:color w:val="auto"/>
          <w:sz w:val="22"/>
          <w:szCs w:val="22"/>
        </w:rPr>
        <w:t>[add in any additional information that may be necessary for inclusion in the risk assessment]</w:t>
      </w:r>
    </w:p>
    <w:p w:rsidR="002F6418" w:rsidRDefault="002F6418" w:rsidP="002F6418">
      <w:pPr>
        <w:pStyle w:val="BodyText"/>
        <w:rPr>
          <w:rStyle w:val="Heading2Char"/>
          <w:b w:val="0"/>
          <w:color w:val="auto"/>
          <w:sz w:val="22"/>
          <w:szCs w:val="22"/>
        </w:rPr>
      </w:pPr>
    </w:p>
    <w:p w:rsidR="002F6418" w:rsidRDefault="002F6418" w:rsidP="002F6418">
      <w:pPr>
        <w:pStyle w:val="BodyText"/>
        <w:rPr>
          <w:rStyle w:val="Heading2Char"/>
          <w:b w:val="0"/>
          <w:color w:val="auto"/>
          <w:sz w:val="22"/>
          <w:szCs w:val="22"/>
        </w:rPr>
      </w:pPr>
    </w:p>
    <w:p w:rsidR="002F6418" w:rsidRPr="002F6418" w:rsidRDefault="002F6418" w:rsidP="002F6418">
      <w:pPr>
        <w:pStyle w:val="BodyText"/>
        <w:rPr>
          <w:rStyle w:val="Heading2Char"/>
          <w:b w:val="0"/>
          <w:color w:val="auto"/>
          <w:sz w:val="22"/>
          <w:szCs w:val="22"/>
        </w:rPr>
      </w:pPr>
    </w:p>
    <w:p w:rsidR="00AE0AD8" w:rsidRDefault="00AE0AD8" w:rsidP="00AE0AD8">
      <w:pPr>
        <w:rPr>
          <w:rStyle w:val="Heading2Char"/>
        </w:rPr>
      </w:pPr>
    </w:p>
    <w:p w:rsidR="002F6418" w:rsidRDefault="002F6418">
      <w:pPr>
        <w:rPr>
          <w:rStyle w:val="Heading2Char"/>
        </w:rPr>
      </w:pPr>
      <w:r>
        <w:rPr>
          <w:rStyle w:val="Heading2Char"/>
        </w:rPr>
        <w:br w:type="page"/>
      </w:r>
    </w:p>
    <w:p w:rsidR="002F6418" w:rsidRDefault="002F6418" w:rsidP="002F6418">
      <w:pPr>
        <w:rPr>
          <w:rStyle w:val="Heading2Char"/>
        </w:rPr>
      </w:pPr>
      <w:r>
        <w:rPr>
          <w:rStyle w:val="Heading2Char"/>
        </w:rPr>
        <w:lastRenderedPageBreak/>
        <w:t>Annex 5</w:t>
      </w:r>
      <w:r w:rsidRPr="00520B40">
        <w:rPr>
          <w:rStyle w:val="Heading2Char"/>
        </w:rPr>
        <w:t xml:space="preserve"> – </w:t>
      </w:r>
      <w:r>
        <w:rPr>
          <w:rStyle w:val="Heading2Char"/>
        </w:rPr>
        <w:t>Risk Assessment Ready Reckoner</w:t>
      </w:r>
    </w:p>
    <w:p w:rsidR="00437A0D" w:rsidRDefault="00437A0D" w:rsidP="002F6418">
      <w:pPr>
        <w:rPr>
          <w:rStyle w:val="Heading2Char"/>
        </w:rPr>
      </w:pPr>
    </w:p>
    <w:p w:rsidR="00E75A1F" w:rsidRDefault="00E75A1F" w:rsidP="00AC594F">
      <w:pPr>
        <w:pStyle w:val="BodyText"/>
      </w:pPr>
      <w:r>
        <w:t>[AMSA uses the following tables as a guide to assessing the likelihood, consequence and risk. The below tables are based off AMSA’s internal</w:t>
      </w:r>
      <w:r w:rsidR="00630F07">
        <w:t xml:space="preserve"> policy for</w:t>
      </w:r>
      <w:r>
        <w:t xml:space="preserve"> risk management. AMSA’s risk management policy is aligned to the </w:t>
      </w:r>
      <w:r w:rsidRPr="00E75A1F">
        <w:t>International Standard for Risk Management ISO31000:2009</w:t>
      </w:r>
      <w:r w:rsidR="00BC0BEF">
        <w:t>.</w:t>
      </w:r>
      <w:r w:rsidR="00437A0D">
        <w:t xml:space="preserve"> </w:t>
      </w:r>
      <w:r w:rsidR="00BC0BEF">
        <w:t>It is recommended that competent AtoN authorities either use the descriptors and tables provided in the SIRA guideline, or alternately define their own descriptors aligned to organisations acceptability of risk</w:t>
      </w:r>
      <w:proofErr w:type="gramStart"/>
      <w:r w:rsidR="00BC0BEF">
        <w:t xml:space="preserve">. </w:t>
      </w:r>
      <w:r>
        <w:t>]</w:t>
      </w:r>
      <w:proofErr w:type="gramEnd"/>
    </w:p>
    <w:p w:rsidR="00E75A1F" w:rsidRDefault="00630F07" w:rsidP="00630F07">
      <w:pPr>
        <w:pStyle w:val="Heading1"/>
      </w:pPr>
      <w:r>
        <w:t>Descriptors for Likelihood and Consequence</w:t>
      </w:r>
    </w:p>
    <w:p w:rsidR="00630F07" w:rsidRPr="00AC594F" w:rsidRDefault="00630F07" w:rsidP="00630F07">
      <w:pPr>
        <w:pStyle w:val="BodyText"/>
      </w:pPr>
      <w:r>
        <w:t xml:space="preserve">[It is recommended that the competent AtoN authority using the risk assessment process defines its own appropriate descriptors or uses those defined within the SIRA process]  </w:t>
      </w:r>
    </w:p>
    <w:p w:rsidR="00630F07" w:rsidRDefault="00630F07" w:rsidP="00630F07">
      <w:pPr>
        <w:pStyle w:val="Heading2"/>
      </w:pPr>
      <w:r>
        <w:t>Examples of ‘Descriptors for Likelihood’</w:t>
      </w:r>
      <w:r w:rsidR="00437A0D">
        <w:t xml:space="preserve"> (or align to G1138)</w:t>
      </w:r>
    </w:p>
    <w:tbl>
      <w:tblPr>
        <w:tblStyle w:val="TableGrid"/>
        <w:tblW w:w="0" w:type="auto"/>
        <w:tblLook w:val="04A0" w:firstRow="1" w:lastRow="0" w:firstColumn="1" w:lastColumn="0" w:noHBand="0" w:noVBand="1"/>
      </w:tblPr>
      <w:tblGrid>
        <w:gridCol w:w="1696"/>
        <w:gridCol w:w="5245"/>
        <w:gridCol w:w="1985"/>
      </w:tblGrid>
      <w:tr w:rsidR="00630F07" w:rsidRPr="00630F07" w:rsidTr="00630F07">
        <w:tc>
          <w:tcPr>
            <w:tcW w:w="1696" w:type="dxa"/>
            <w:shd w:val="clear" w:color="auto" w:fill="BFBFBF" w:themeFill="background1" w:themeFillShade="BF"/>
          </w:tcPr>
          <w:p w:rsidR="00630F07" w:rsidRPr="00630F07" w:rsidRDefault="00630F07" w:rsidP="00630F07">
            <w:pPr>
              <w:pStyle w:val="BodyText"/>
              <w:rPr>
                <w:sz w:val="20"/>
                <w:szCs w:val="20"/>
              </w:rPr>
            </w:pPr>
          </w:p>
        </w:tc>
        <w:tc>
          <w:tcPr>
            <w:tcW w:w="5245" w:type="dxa"/>
            <w:shd w:val="clear" w:color="auto" w:fill="BFBFBF" w:themeFill="background1" w:themeFillShade="BF"/>
          </w:tcPr>
          <w:p w:rsidR="00630F07" w:rsidRPr="00630F07" w:rsidRDefault="00630F07" w:rsidP="00630F07">
            <w:pPr>
              <w:pStyle w:val="BodyText"/>
              <w:rPr>
                <w:sz w:val="20"/>
                <w:szCs w:val="20"/>
              </w:rPr>
            </w:pPr>
            <w:r w:rsidRPr="00630F07">
              <w:rPr>
                <w:sz w:val="20"/>
                <w:szCs w:val="20"/>
              </w:rPr>
              <w:t>Descriptor</w:t>
            </w:r>
          </w:p>
        </w:tc>
        <w:tc>
          <w:tcPr>
            <w:tcW w:w="1985" w:type="dxa"/>
            <w:shd w:val="clear" w:color="auto" w:fill="BFBFBF" w:themeFill="background1" w:themeFillShade="BF"/>
          </w:tcPr>
          <w:p w:rsidR="00630F07" w:rsidRPr="00630F07" w:rsidRDefault="00630F07" w:rsidP="00630F07">
            <w:pPr>
              <w:pStyle w:val="BodyText"/>
              <w:jc w:val="center"/>
              <w:rPr>
                <w:sz w:val="20"/>
                <w:szCs w:val="20"/>
              </w:rPr>
            </w:pPr>
            <w:r w:rsidRPr="00630F07">
              <w:rPr>
                <w:sz w:val="20"/>
                <w:szCs w:val="20"/>
              </w:rPr>
              <w:t>Percentage chance of occurrence</w:t>
            </w:r>
          </w:p>
        </w:tc>
      </w:tr>
      <w:tr w:rsidR="00630F07" w:rsidRPr="00630F07" w:rsidTr="00630F07">
        <w:tc>
          <w:tcPr>
            <w:tcW w:w="1696" w:type="dxa"/>
            <w:shd w:val="clear" w:color="auto" w:fill="BFBFBF" w:themeFill="background1" w:themeFillShade="BF"/>
            <w:vAlign w:val="center"/>
          </w:tcPr>
          <w:p w:rsidR="00630F07" w:rsidRPr="00630F07" w:rsidRDefault="00630F07" w:rsidP="00630F07">
            <w:pPr>
              <w:pStyle w:val="BodyText"/>
              <w:spacing w:after="0"/>
              <w:jc w:val="center"/>
              <w:rPr>
                <w:sz w:val="20"/>
                <w:szCs w:val="20"/>
              </w:rPr>
            </w:pPr>
            <w:r w:rsidRPr="00630F07">
              <w:rPr>
                <w:sz w:val="20"/>
                <w:szCs w:val="20"/>
              </w:rPr>
              <w:t>Almost Certain</w:t>
            </w:r>
          </w:p>
          <w:p w:rsidR="00630F07" w:rsidRPr="00630F07" w:rsidRDefault="00630F07" w:rsidP="00630F07">
            <w:pPr>
              <w:pStyle w:val="BodyText"/>
              <w:spacing w:after="0"/>
              <w:jc w:val="center"/>
              <w:rPr>
                <w:sz w:val="20"/>
                <w:szCs w:val="20"/>
              </w:rPr>
            </w:pPr>
            <w:r w:rsidRPr="00630F07">
              <w:rPr>
                <w:sz w:val="20"/>
                <w:szCs w:val="20"/>
              </w:rPr>
              <w:t>5</w:t>
            </w:r>
          </w:p>
        </w:tc>
        <w:tc>
          <w:tcPr>
            <w:tcW w:w="5245" w:type="dxa"/>
          </w:tcPr>
          <w:p w:rsidR="00630F07" w:rsidRPr="00630F07" w:rsidRDefault="00630F07" w:rsidP="00630F07">
            <w:pPr>
              <w:pStyle w:val="BodyText"/>
              <w:rPr>
                <w:sz w:val="20"/>
                <w:szCs w:val="20"/>
              </w:rPr>
            </w:pPr>
            <w:r w:rsidRPr="00630F07">
              <w:rPr>
                <w:sz w:val="20"/>
                <w:szCs w:val="20"/>
              </w:rPr>
              <w:t>A common event</w:t>
            </w:r>
          </w:p>
        </w:tc>
        <w:tc>
          <w:tcPr>
            <w:tcW w:w="1985" w:type="dxa"/>
          </w:tcPr>
          <w:p w:rsidR="00630F07" w:rsidRPr="00630F07" w:rsidRDefault="00630F07" w:rsidP="00630F07">
            <w:pPr>
              <w:pStyle w:val="BodyText"/>
              <w:jc w:val="center"/>
              <w:rPr>
                <w:sz w:val="20"/>
                <w:szCs w:val="20"/>
              </w:rPr>
            </w:pPr>
            <w:r w:rsidRPr="00630F07">
              <w:rPr>
                <w:sz w:val="20"/>
                <w:szCs w:val="20"/>
              </w:rPr>
              <w:t>95%</w:t>
            </w:r>
          </w:p>
        </w:tc>
      </w:tr>
      <w:tr w:rsidR="00630F07" w:rsidRPr="00630F07" w:rsidTr="00630F07">
        <w:tc>
          <w:tcPr>
            <w:tcW w:w="1696" w:type="dxa"/>
            <w:shd w:val="clear" w:color="auto" w:fill="BFBFBF" w:themeFill="background1" w:themeFillShade="BF"/>
            <w:vAlign w:val="center"/>
          </w:tcPr>
          <w:p w:rsidR="00630F07" w:rsidRPr="00630F07" w:rsidRDefault="00630F07" w:rsidP="00630F07">
            <w:pPr>
              <w:pStyle w:val="BodyText"/>
              <w:spacing w:after="0"/>
              <w:jc w:val="center"/>
              <w:rPr>
                <w:sz w:val="20"/>
                <w:szCs w:val="20"/>
              </w:rPr>
            </w:pPr>
            <w:r w:rsidRPr="00630F07">
              <w:rPr>
                <w:sz w:val="20"/>
                <w:szCs w:val="20"/>
              </w:rPr>
              <w:t>Likely</w:t>
            </w:r>
          </w:p>
          <w:p w:rsidR="00630F07" w:rsidRPr="00630F07" w:rsidRDefault="00630F07" w:rsidP="00630F07">
            <w:pPr>
              <w:pStyle w:val="BodyText"/>
              <w:spacing w:after="0"/>
              <w:jc w:val="center"/>
              <w:rPr>
                <w:sz w:val="20"/>
                <w:szCs w:val="20"/>
              </w:rPr>
            </w:pPr>
            <w:r w:rsidRPr="00630F07">
              <w:rPr>
                <w:sz w:val="20"/>
                <w:szCs w:val="20"/>
              </w:rPr>
              <w:t>4</w:t>
            </w:r>
          </w:p>
        </w:tc>
        <w:tc>
          <w:tcPr>
            <w:tcW w:w="5245" w:type="dxa"/>
          </w:tcPr>
          <w:p w:rsidR="00630F07" w:rsidRPr="00630F07" w:rsidRDefault="00630F07" w:rsidP="00630F07">
            <w:pPr>
              <w:pStyle w:val="BodyText"/>
              <w:rPr>
                <w:sz w:val="20"/>
                <w:szCs w:val="20"/>
              </w:rPr>
            </w:pPr>
            <w:r w:rsidRPr="00630F07">
              <w:rPr>
                <w:sz w:val="20"/>
                <w:szCs w:val="20"/>
              </w:rPr>
              <w:t>Known to occur</w:t>
            </w:r>
          </w:p>
        </w:tc>
        <w:tc>
          <w:tcPr>
            <w:tcW w:w="1985" w:type="dxa"/>
          </w:tcPr>
          <w:p w:rsidR="00630F07" w:rsidRPr="00630F07" w:rsidRDefault="00630F07" w:rsidP="00630F07">
            <w:pPr>
              <w:pStyle w:val="BodyText"/>
              <w:jc w:val="center"/>
              <w:rPr>
                <w:sz w:val="20"/>
                <w:szCs w:val="20"/>
              </w:rPr>
            </w:pPr>
            <w:r w:rsidRPr="00630F07">
              <w:rPr>
                <w:sz w:val="20"/>
                <w:szCs w:val="20"/>
              </w:rPr>
              <w:t>60%</w:t>
            </w:r>
          </w:p>
        </w:tc>
      </w:tr>
      <w:tr w:rsidR="00630F07" w:rsidRPr="00630F07" w:rsidTr="00630F07">
        <w:tc>
          <w:tcPr>
            <w:tcW w:w="1696" w:type="dxa"/>
            <w:shd w:val="clear" w:color="auto" w:fill="BFBFBF" w:themeFill="background1" w:themeFillShade="BF"/>
            <w:vAlign w:val="center"/>
          </w:tcPr>
          <w:p w:rsidR="00630F07" w:rsidRPr="00630F07" w:rsidRDefault="00630F07" w:rsidP="00630F07">
            <w:pPr>
              <w:pStyle w:val="BodyText"/>
              <w:spacing w:after="0"/>
              <w:jc w:val="center"/>
              <w:rPr>
                <w:sz w:val="20"/>
                <w:szCs w:val="20"/>
              </w:rPr>
            </w:pPr>
            <w:r w:rsidRPr="00630F07">
              <w:rPr>
                <w:sz w:val="20"/>
                <w:szCs w:val="20"/>
              </w:rPr>
              <w:t>Possible</w:t>
            </w:r>
          </w:p>
          <w:p w:rsidR="00630F07" w:rsidRPr="00630F07" w:rsidRDefault="00630F07" w:rsidP="00630F07">
            <w:pPr>
              <w:pStyle w:val="BodyText"/>
              <w:spacing w:after="0"/>
              <w:jc w:val="center"/>
              <w:rPr>
                <w:sz w:val="20"/>
                <w:szCs w:val="20"/>
              </w:rPr>
            </w:pPr>
            <w:r w:rsidRPr="00630F07">
              <w:rPr>
                <w:sz w:val="20"/>
                <w:szCs w:val="20"/>
              </w:rPr>
              <w:t>3</w:t>
            </w:r>
          </w:p>
        </w:tc>
        <w:tc>
          <w:tcPr>
            <w:tcW w:w="5245" w:type="dxa"/>
          </w:tcPr>
          <w:p w:rsidR="00630F07" w:rsidRPr="00630F07" w:rsidRDefault="00630F07" w:rsidP="00630F07">
            <w:pPr>
              <w:pStyle w:val="BodyText"/>
              <w:rPr>
                <w:sz w:val="20"/>
                <w:szCs w:val="20"/>
              </w:rPr>
            </w:pPr>
            <w:r w:rsidRPr="00630F07">
              <w:rPr>
                <w:sz w:val="20"/>
                <w:szCs w:val="20"/>
              </w:rPr>
              <w:t>Could occur, heard of it happening</w:t>
            </w:r>
          </w:p>
        </w:tc>
        <w:tc>
          <w:tcPr>
            <w:tcW w:w="1985" w:type="dxa"/>
          </w:tcPr>
          <w:p w:rsidR="00630F07" w:rsidRPr="00630F07" w:rsidRDefault="00630F07" w:rsidP="00630F07">
            <w:pPr>
              <w:pStyle w:val="BodyText"/>
              <w:jc w:val="center"/>
              <w:rPr>
                <w:sz w:val="20"/>
                <w:szCs w:val="20"/>
              </w:rPr>
            </w:pPr>
            <w:r w:rsidRPr="00630F07">
              <w:rPr>
                <w:sz w:val="20"/>
                <w:szCs w:val="20"/>
              </w:rPr>
              <w:t>40%</w:t>
            </w:r>
          </w:p>
        </w:tc>
      </w:tr>
      <w:tr w:rsidR="00630F07" w:rsidRPr="00630F07" w:rsidTr="00630F07">
        <w:tc>
          <w:tcPr>
            <w:tcW w:w="1696" w:type="dxa"/>
            <w:shd w:val="clear" w:color="auto" w:fill="BFBFBF" w:themeFill="background1" w:themeFillShade="BF"/>
            <w:vAlign w:val="center"/>
          </w:tcPr>
          <w:p w:rsidR="00630F07" w:rsidRPr="00630F07" w:rsidRDefault="00630F07" w:rsidP="00630F07">
            <w:pPr>
              <w:pStyle w:val="BodyText"/>
              <w:spacing w:after="0"/>
              <w:jc w:val="center"/>
              <w:rPr>
                <w:sz w:val="20"/>
                <w:szCs w:val="20"/>
              </w:rPr>
            </w:pPr>
            <w:r w:rsidRPr="00630F07">
              <w:rPr>
                <w:sz w:val="20"/>
                <w:szCs w:val="20"/>
              </w:rPr>
              <w:t>Unlikely</w:t>
            </w:r>
          </w:p>
          <w:p w:rsidR="00630F07" w:rsidRPr="00630F07" w:rsidRDefault="00630F07" w:rsidP="00630F07">
            <w:pPr>
              <w:pStyle w:val="BodyText"/>
              <w:spacing w:after="0"/>
              <w:jc w:val="center"/>
              <w:rPr>
                <w:sz w:val="20"/>
                <w:szCs w:val="20"/>
              </w:rPr>
            </w:pPr>
            <w:r w:rsidRPr="00630F07">
              <w:rPr>
                <w:sz w:val="20"/>
                <w:szCs w:val="20"/>
              </w:rPr>
              <w:t>2</w:t>
            </w:r>
          </w:p>
        </w:tc>
        <w:tc>
          <w:tcPr>
            <w:tcW w:w="5245" w:type="dxa"/>
          </w:tcPr>
          <w:p w:rsidR="00630F07" w:rsidRPr="00630F07" w:rsidRDefault="00630F07" w:rsidP="00630F07">
            <w:pPr>
              <w:pStyle w:val="BodyText"/>
              <w:rPr>
                <w:sz w:val="20"/>
                <w:szCs w:val="20"/>
              </w:rPr>
            </w:pPr>
            <w:r w:rsidRPr="00630F07">
              <w:rPr>
                <w:sz w:val="20"/>
                <w:szCs w:val="20"/>
              </w:rPr>
              <w:t>Not likely to occur</w:t>
            </w:r>
          </w:p>
        </w:tc>
        <w:tc>
          <w:tcPr>
            <w:tcW w:w="1985" w:type="dxa"/>
          </w:tcPr>
          <w:p w:rsidR="00630F07" w:rsidRPr="00630F07" w:rsidRDefault="00630F07" w:rsidP="00630F07">
            <w:pPr>
              <w:pStyle w:val="BodyText"/>
              <w:jc w:val="center"/>
              <w:rPr>
                <w:sz w:val="20"/>
                <w:szCs w:val="20"/>
              </w:rPr>
            </w:pPr>
            <w:r w:rsidRPr="00630F07">
              <w:rPr>
                <w:sz w:val="20"/>
                <w:szCs w:val="20"/>
              </w:rPr>
              <w:t>20%</w:t>
            </w:r>
          </w:p>
        </w:tc>
      </w:tr>
      <w:tr w:rsidR="00630F07" w:rsidRPr="00630F07" w:rsidTr="00630F07">
        <w:tc>
          <w:tcPr>
            <w:tcW w:w="1696" w:type="dxa"/>
            <w:shd w:val="clear" w:color="auto" w:fill="BFBFBF" w:themeFill="background1" w:themeFillShade="BF"/>
            <w:vAlign w:val="center"/>
          </w:tcPr>
          <w:p w:rsidR="00630F07" w:rsidRPr="00630F07" w:rsidRDefault="00630F07" w:rsidP="00630F07">
            <w:pPr>
              <w:pStyle w:val="BodyText"/>
              <w:spacing w:after="0"/>
              <w:jc w:val="center"/>
              <w:rPr>
                <w:sz w:val="20"/>
                <w:szCs w:val="20"/>
              </w:rPr>
            </w:pPr>
            <w:r w:rsidRPr="00630F07">
              <w:rPr>
                <w:sz w:val="20"/>
                <w:szCs w:val="20"/>
              </w:rPr>
              <w:t>Rare</w:t>
            </w:r>
          </w:p>
          <w:p w:rsidR="00630F07" w:rsidRPr="00630F07" w:rsidRDefault="00630F07" w:rsidP="00630F07">
            <w:pPr>
              <w:pStyle w:val="BodyText"/>
              <w:spacing w:after="0"/>
              <w:jc w:val="center"/>
              <w:rPr>
                <w:sz w:val="20"/>
                <w:szCs w:val="20"/>
              </w:rPr>
            </w:pPr>
            <w:r w:rsidRPr="00630F07">
              <w:rPr>
                <w:sz w:val="20"/>
                <w:szCs w:val="20"/>
              </w:rPr>
              <w:t>1</w:t>
            </w:r>
          </w:p>
        </w:tc>
        <w:tc>
          <w:tcPr>
            <w:tcW w:w="5245" w:type="dxa"/>
          </w:tcPr>
          <w:p w:rsidR="00630F07" w:rsidRPr="00630F07" w:rsidRDefault="00630F07" w:rsidP="00630F07">
            <w:pPr>
              <w:pStyle w:val="BodyText"/>
              <w:rPr>
                <w:sz w:val="20"/>
                <w:szCs w:val="20"/>
              </w:rPr>
            </w:pPr>
            <w:r w:rsidRPr="00630F07">
              <w:rPr>
                <w:sz w:val="20"/>
                <w:szCs w:val="20"/>
              </w:rPr>
              <w:t>Practically impossible</w:t>
            </w:r>
          </w:p>
        </w:tc>
        <w:tc>
          <w:tcPr>
            <w:tcW w:w="1985" w:type="dxa"/>
          </w:tcPr>
          <w:p w:rsidR="00630F07" w:rsidRPr="00630F07" w:rsidRDefault="00630F07" w:rsidP="00630F07">
            <w:pPr>
              <w:pStyle w:val="BodyText"/>
              <w:jc w:val="center"/>
              <w:rPr>
                <w:sz w:val="20"/>
                <w:szCs w:val="20"/>
              </w:rPr>
            </w:pPr>
            <w:r w:rsidRPr="00630F07">
              <w:rPr>
                <w:sz w:val="20"/>
                <w:szCs w:val="20"/>
              </w:rPr>
              <w:t>5%</w:t>
            </w:r>
          </w:p>
        </w:tc>
      </w:tr>
    </w:tbl>
    <w:p w:rsidR="00630F07" w:rsidRDefault="00630F07" w:rsidP="00630F07">
      <w:pPr>
        <w:pStyle w:val="BodyText"/>
      </w:pPr>
    </w:p>
    <w:p w:rsidR="00630F07" w:rsidRDefault="00630F07" w:rsidP="00630F07">
      <w:pPr>
        <w:pStyle w:val="Heading2"/>
      </w:pPr>
      <w:r>
        <w:t>Examples of Descriptors for Consequence</w:t>
      </w:r>
    </w:p>
    <w:tbl>
      <w:tblPr>
        <w:tblStyle w:val="TableGrid"/>
        <w:tblW w:w="0" w:type="auto"/>
        <w:tblLook w:val="04A0" w:firstRow="1" w:lastRow="0" w:firstColumn="1" w:lastColumn="0" w:noHBand="0" w:noVBand="1"/>
      </w:tblPr>
      <w:tblGrid>
        <w:gridCol w:w="1696"/>
        <w:gridCol w:w="7230"/>
      </w:tblGrid>
      <w:tr w:rsidR="00BC0BEF" w:rsidRPr="00630F07" w:rsidTr="00BC0BEF">
        <w:tc>
          <w:tcPr>
            <w:tcW w:w="1696" w:type="dxa"/>
            <w:shd w:val="clear" w:color="auto" w:fill="BFBFBF" w:themeFill="background1" w:themeFillShade="BF"/>
          </w:tcPr>
          <w:p w:rsidR="00BC0BEF" w:rsidRPr="00630F07" w:rsidRDefault="00BC0BEF" w:rsidP="00C21C24">
            <w:pPr>
              <w:pStyle w:val="BodyText"/>
              <w:rPr>
                <w:sz w:val="20"/>
                <w:szCs w:val="20"/>
              </w:rPr>
            </w:pPr>
          </w:p>
        </w:tc>
        <w:tc>
          <w:tcPr>
            <w:tcW w:w="7230" w:type="dxa"/>
            <w:shd w:val="clear" w:color="auto" w:fill="BFBFBF" w:themeFill="background1" w:themeFillShade="BF"/>
          </w:tcPr>
          <w:p w:rsidR="00BC0BEF" w:rsidRPr="00630F07" w:rsidRDefault="00BC0BEF" w:rsidP="00C21C24">
            <w:pPr>
              <w:pStyle w:val="BodyText"/>
              <w:rPr>
                <w:sz w:val="20"/>
                <w:szCs w:val="20"/>
              </w:rPr>
            </w:pPr>
            <w:r w:rsidRPr="00630F07">
              <w:rPr>
                <w:sz w:val="20"/>
                <w:szCs w:val="20"/>
              </w:rPr>
              <w:t>Descriptor</w:t>
            </w:r>
          </w:p>
        </w:tc>
      </w:tr>
      <w:tr w:rsidR="00BC0BEF" w:rsidRPr="00630F07" w:rsidTr="00BC0BEF">
        <w:tc>
          <w:tcPr>
            <w:tcW w:w="1696" w:type="dxa"/>
            <w:shd w:val="clear" w:color="auto" w:fill="BFBFBF" w:themeFill="background1" w:themeFillShade="BF"/>
            <w:vAlign w:val="center"/>
          </w:tcPr>
          <w:p w:rsidR="00BC0BEF" w:rsidRPr="00E75A1F" w:rsidRDefault="00BC0BEF" w:rsidP="00BC0BEF">
            <w:pPr>
              <w:pStyle w:val="BodyText"/>
              <w:spacing w:after="0"/>
              <w:jc w:val="center"/>
              <w:rPr>
                <w:sz w:val="20"/>
              </w:rPr>
            </w:pPr>
            <w:r w:rsidRPr="00E75A1F">
              <w:rPr>
                <w:sz w:val="20"/>
              </w:rPr>
              <w:t>Catastrophic</w:t>
            </w:r>
          </w:p>
          <w:p w:rsidR="00BC0BEF" w:rsidRPr="00630F07" w:rsidRDefault="00BC0BEF" w:rsidP="00BC0BEF">
            <w:pPr>
              <w:pStyle w:val="BodyText"/>
              <w:spacing w:after="0"/>
              <w:jc w:val="center"/>
              <w:rPr>
                <w:sz w:val="20"/>
                <w:szCs w:val="20"/>
              </w:rPr>
            </w:pPr>
            <w:r w:rsidRPr="00E75A1F">
              <w:rPr>
                <w:sz w:val="20"/>
              </w:rPr>
              <w:t>5</w:t>
            </w:r>
          </w:p>
        </w:tc>
        <w:tc>
          <w:tcPr>
            <w:tcW w:w="7230" w:type="dxa"/>
          </w:tcPr>
          <w:p w:rsidR="00BC0BEF" w:rsidRPr="00437A0D" w:rsidRDefault="00437A0D" w:rsidP="00437A0D">
            <w:pPr>
              <w:pStyle w:val="BodyText"/>
              <w:jc w:val="center"/>
              <w:rPr>
                <w:i/>
                <w:sz w:val="18"/>
                <w:szCs w:val="20"/>
              </w:rPr>
            </w:pPr>
            <w:r w:rsidRPr="00437A0D">
              <w:rPr>
                <w:i/>
                <w:sz w:val="18"/>
                <w:szCs w:val="20"/>
              </w:rPr>
              <w:t>[align to G1138 or define as appropriate based on organisations appetite for risk]</w:t>
            </w:r>
          </w:p>
        </w:tc>
      </w:tr>
      <w:tr w:rsidR="00437A0D" w:rsidRPr="00630F07" w:rsidTr="00BC0BEF">
        <w:tc>
          <w:tcPr>
            <w:tcW w:w="1696" w:type="dxa"/>
            <w:shd w:val="clear" w:color="auto" w:fill="BFBFBF" w:themeFill="background1" w:themeFillShade="BF"/>
            <w:vAlign w:val="center"/>
          </w:tcPr>
          <w:p w:rsidR="00437A0D" w:rsidRPr="00E75A1F" w:rsidRDefault="00437A0D" w:rsidP="00437A0D">
            <w:pPr>
              <w:pStyle w:val="BodyText"/>
              <w:spacing w:after="0"/>
              <w:jc w:val="center"/>
              <w:rPr>
                <w:sz w:val="20"/>
              </w:rPr>
            </w:pPr>
            <w:r w:rsidRPr="00E75A1F">
              <w:rPr>
                <w:sz w:val="20"/>
              </w:rPr>
              <w:t>High</w:t>
            </w:r>
          </w:p>
          <w:p w:rsidR="00437A0D" w:rsidRPr="00630F07" w:rsidRDefault="00437A0D" w:rsidP="00437A0D">
            <w:pPr>
              <w:pStyle w:val="BodyText"/>
              <w:spacing w:after="0"/>
              <w:jc w:val="center"/>
              <w:rPr>
                <w:sz w:val="20"/>
                <w:szCs w:val="20"/>
              </w:rPr>
            </w:pPr>
            <w:r w:rsidRPr="00E75A1F">
              <w:rPr>
                <w:sz w:val="20"/>
              </w:rPr>
              <w:t>4</w:t>
            </w:r>
          </w:p>
        </w:tc>
        <w:tc>
          <w:tcPr>
            <w:tcW w:w="7230" w:type="dxa"/>
          </w:tcPr>
          <w:p w:rsidR="00437A0D" w:rsidRPr="00437A0D" w:rsidRDefault="00437A0D" w:rsidP="00437A0D">
            <w:pPr>
              <w:pStyle w:val="BodyText"/>
              <w:jc w:val="center"/>
              <w:rPr>
                <w:i/>
                <w:sz w:val="18"/>
                <w:szCs w:val="20"/>
              </w:rPr>
            </w:pPr>
            <w:r w:rsidRPr="00437A0D">
              <w:rPr>
                <w:i/>
                <w:sz w:val="18"/>
                <w:szCs w:val="20"/>
              </w:rPr>
              <w:t>[align to G1138 or define as appropriate based on organisations appetite for risk]</w:t>
            </w:r>
          </w:p>
        </w:tc>
      </w:tr>
      <w:tr w:rsidR="00437A0D" w:rsidRPr="00630F07" w:rsidTr="00BC0BEF">
        <w:tc>
          <w:tcPr>
            <w:tcW w:w="1696" w:type="dxa"/>
            <w:shd w:val="clear" w:color="auto" w:fill="BFBFBF" w:themeFill="background1" w:themeFillShade="BF"/>
            <w:vAlign w:val="center"/>
          </w:tcPr>
          <w:p w:rsidR="00437A0D" w:rsidRPr="00E75A1F" w:rsidRDefault="00437A0D" w:rsidP="00437A0D">
            <w:pPr>
              <w:pStyle w:val="BodyText"/>
              <w:spacing w:after="0"/>
              <w:jc w:val="center"/>
              <w:rPr>
                <w:sz w:val="20"/>
              </w:rPr>
            </w:pPr>
            <w:r w:rsidRPr="00E75A1F">
              <w:rPr>
                <w:sz w:val="20"/>
              </w:rPr>
              <w:t>Medium</w:t>
            </w:r>
          </w:p>
          <w:p w:rsidR="00437A0D" w:rsidRPr="00630F07" w:rsidRDefault="00437A0D" w:rsidP="00437A0D">
            <w:pPr>
              <w:pStyle w:val="BodyText"/>
              <w:spacing w:after="0"/>
              <w:jc w:val="center"/>
              <w:rPr>
                <w:sz w:val="20"/>
                <w:szCs w:val="20"/>
              </w:rPr>
            </w:pPr>
            <w:r w:rsidRPr="00E75A1F">
              <w:rPr>
                <w:sz w:val="20"/>
              </w:rPr>
              <w:t>3</w:t>
            </w:r>
          </w:p>
        </w:tc>
        <w:tc>
          <w:tcPr>
            <w:tcW w:w="7230" w:type="dxa"/>
          </w:tcPr>
          <w:p w:rsidR="00437A0D" w:rsidRPr="00437A0D" w:rsidRDefault="00437A0D" w:rsidP="00437A0D">
            <w:pPr>
              <w:pStyle w:val="BodyText"/>
              <w:jc w:val="center"/>
              <w:rPr>
                <w:i/>
                <w:sz w:val="18"/>
                <w:szCs w:val="20"/>
              </w:rPr>
            </w:pPr>
            <w:r w:rsidRPr="00437A0D">
              <w:rPr>
                <w:i/>
                <w:sz w:val="18"/>
                <w:szCs w:val="20"/>
              </w:rPr>
              <w:t>[align to G1138 or define as appropriate based on organisations appetite for risk]</w:t>
            </w:r>
          </w:p>
        </w:tc>
      </w:tr>
      <w:tr w:rsidR="00437A0D" w:rsidRPr="00630F07" w:rsidTr="00BC0BEF">
        <w:tc>
          <w:tcPr>
            <w:tcW w:w="1696" w:type="dxa"/>
            <w:shd w:val="clear" w:color="auto" w:fill="BFBFBF" w:themeFill="background1" w:themeFillShade="BF"/>
            <w:vAlign w:val="center"/>
          </w:tcPr>
          <w:p w:rsidR="00437A0D" w:rsidRPr="00E75A1F" w:rsidRDefault="00437A0D" w:rsidP="00437A0D">
            <w:pPr>
              <w:pStyle w:val="BodyText"/>
              <w:spacing w:after="0"/>
              <w:jc w:val="center"/>
              <w:rPr>
                <w:sz w:val="20"/>
              </w:rPr>
            </w:pPr>
            <w:r w:rsidRPr="00E75A1F">
              <w:rPr>
                <w:sz w:val="20"/>
              </w:rPr>
              <w:t>Minor</w:t>
            </w:r>
          </w:p>
          <w:p w:rsidR="00437A0D" w:rsidRPr="00630F07" w:rsidRDefault="00437A0D" w:rsidP="00437A0D">
            <w:pPr>
              <w:pStyle w:val="BodyText"/>
              <w:spacing w:after="0"/>
              <w:jc w:val="center"/>
              <w:rPr>
                <w:sz w:val="20"/>
                <w:szCs w:val="20"/>
              </w:rPr>
            </w:pPr>
            <w:r w:rsidRPr="00E75A1F">
              <w:rPr>
                <w:sz w:val="20"/>
              </w:rPr>
              <w:t>2</w:t>
            </w:r>
          </w:p>
        </w:tc>
        <w:tc>
          <w:tcPr>
            <w:tcW w:w="7230" w:type="dxa"/>
          </w:tcPr>
          <w:p w:rsidR="00437A0D" w:rsidRPr="00437A0D" w:rsidRDefault="00437A0D" w:rsidP="00437A0D">
            <w:pPr>
              <w:pStyle w:val="BodyText"/>
              <w:jc w:val="center"/>
              <w:rPr>
                <w:i/>
                <w:sz w:val="18"/>
                <w:szCs w:val="20"/>
              </w:rPr>
            </w:pPr>
            <w:r w:rsidRPr="00437A0D">
              <w:rPr>
                <w:i/>
                <w:sz w:val="18"/>
                <w:szCs w:val="20"/>
              </w:rPr>
              <w:t>[align to G1138 or define as appropriate based on organisations appetite for risk]</w:t>
            </w:r>
          </w:p>
        </w:tc>
      </w:tr>
      <w:tr w:rsidR="00437A0D" w:rsidRPr="00630F07" w:rsidTr="00BC0BEF">
        <w:tc>
          <w:tcPr>
            <w:tcW w:w="1696" w:type="dxa"/>
            <w:shd w:val="clear" w:color="auto" w:fill="BFBFBF" w:themeFill="background1" w:themeFillShade="BF"/>
            <w:vAlign w:val="center"/>
          </w:tcPr>
          <w:p w:rsidR="00437A0D" w:rsidRPr="00E75A1F" w:rsidRDefault="00437A0D" w:rsidP="00437A0D">
            <w:pPr>
              <w:pStyle w:val="BodyText"/>
              <w:spacing w:after="0"/>
              <w:jc w:val="center"/>
              <w:rPr>
                <w:sz w:val="20"/>
              </w:rPr>
            </w:pPr>
            <w:r w:rsidRPr="00E75A1F">
              <w:rPr>
                <w:sz w:val="20"/>
              </w:rPr>
              <w:t>Negligible</w:t>
            </w:r>
          </w:p>
          <w:p w:rsidR="00437A0D" w:rsidRPr="00E75A1F" w:rsidRDefault="00437A0D" w:rsidP="00437A0D">
            <w:pPr>
              <w:pStyle w:val="BodyText"/>
              <w:spacing w:after="0"/>
              <w:jc w:val="center"/>
              <w:rPr>
                <w:sz w:val="20"/>
              </w:rPr>
            </w:pPr>
            <w:r w:rsidRPr="00E75A1F">
              <w:rPr>
                <w:sz w:val="20"/>
              </w:rPr>
              <w:t>1</w:t>
            </w:r>
          </w:p>
        </w:tc>
        <w:tc>
          <w:tcPr>
            <w:tcW w:w="7230" w:type="dxa"/>
          </w:tcPr>
          <w:p w:rsidR="00437A0D" w:rsidRPr="00437A0D" w:rsidRDefault="00437A0D" w:rsidP="00437A0D">
            <w:pPr>
              <w:pStyle w:val="BodyText"/>
              <w:jc w:val="center"/>
              <w:rPr>
                <w:i/>
                <w:sz w:val="18"/>
                <w:szCs w:val="20"/>
              </w:rPr>
            </w:pPr>
            <w:r w:rsidRPr="00437A0D">
              <w:rPr>
                <w:i/>
                <w:sz w:val="18"/>
                <w:szCs w:val="20"/>
              </w:rPr>
              <w:t>[align to G1138 or define as appropriate based on organisations appetite for risk]</w:t>
            </w:r>
          </w:p>
        </w:tc>
      </w:tr>
    </w:tbl>
    <w:p w:rsidR="00630F07" w:rsidRPr="00AC594F" w:rsidRDefault="00630F07" w:rsidP="00630F07">
      <w:pPr>
        <w:pStyle w:val="BodyText"/>
      </w:pPr>
    </w:p>
    <w:p w:rsidR="00630F07" w:rsidRDefault="00630F07" w:rsidP="00BC0BEF">
      <w:pPr>
        <w:pStyle w:val="Heading2"/>
      </w:pPr>
      <w:r>
        <w:t>Risk assessment table</w:t>
      </w:r>
    </w:p>
    <w:p w:rsidR="00BC0BEF" w:rsidRPr="00BC0BEF" w:rsidRDefault="00437A0D" w:rsidP="00BC0BEF">
      <w:pPr>
        <w:pStyle w:val="BodyText"/>
      </w:pPr>
      <w:r>
        <w:t>[AMSA uses five different risk categories to address risks based on risk appetite]</w:t>
      </w:r>
    </w:p>
    <w:tbl>
      <w:tblPr>
        <w:tblStyle w:val="TableGrid"/>
        <w:tblW w:w="0" w:type="auto"/>
        <w:jc w:val="center"/>
        <w:tblLook w:val="04A0" w:firstRow="1" w:lastRow="0" w:firstColumn="1" w:lastColumn="0" w:noHBand="0" w:noVBand="1"/>
      </w:tblPr>
      <w:tblGrid>
        <w:gridCol w:w="1624"/>
        <w:gridCol w:w="1624"/>
        <w:gridCol w:w="1624"/>
        <w:gridCol w:w="1625"/>
        <w:gridCol w:w="1625"/>
        <w:gridCol w:w="1625"/>
      </w:tblGrid>
      <w:tr w:rsidR="00E75A1F" w:rsidRPr="00E75A1F" w:rsidTr="00E75A1F">
        <w:trPr>
          <w:jc w:val="center"/>
        </w:trPr>
        <w:tc>
          <w:tcPr>
            <w:tcW w:w="1624" w:type="dxa"/>
            <w:shd w:val="clear" w:color="auto" w:fill="BFBFBF" w:themeFill="background1" w:themeFillShade="BF"/>
            <w:vAlign w:val="center"/>
          </w:tcPr>
          <w:p w:rsidR="00E75A1F" w:rsidRPr="00E75A1F" w:rsidRDefault="00E75A1F" w:rsidP="00E75A1F">
            <w:pPr>
              <w:pStyle w:val="BodyText"/>
              <w:spacing w:after="0"/>
              <w:jc w:val="center"/>
              <w:rPr>
                <w:sz w:val="20"/>
              </w:rPr>
            </w:pPr>
          </w:p>
        </w:tc>
        <w:tc>
          <w:tcPr>
            <w:tcW w:w="1624" w:type="dxa"/>
            <w:shd w:val="clear" w:color="auto" w:fill="BFBFBF" w:themeFill="background1" w:themeFillShade="BF"/>
            <w:vAlign w:val="center"/>
          </w:tcPr>
          <w:p w:rsidR="00E75A1F" w:rsidRPr="00E75A1F" w:rsidRDefault="00E75A1F" w:rsidP="00E75A1F">
            <w:pPr>
              <w:pStyle w:val="BodyText"/>
              <w:spacing w:after="0"/>
              <w:jc w:val="center"/>
              <w:rPr>
                <w:sz w:val="20"/>
              </w:rPr>
            </w:pPr>
            <w:r w:rsidRPr="00E75A1F">
              <w:rPr>
                <w:sz w:val="20"/>
              </w:rPr>
              <w:t>Negligible</w:t>
            </w:r>
          </w:p>
          <w:p w:rsidR="00E75A1F" w:rsidRPr="00E75A1F" w:rsidRDefault="00E75A1F" w:rsidP="00E75A1F">
            <w:pPr>
              <w:pStyle w:val="BodyText"/>
              <w:spacing w:after="0"/>
              <w:jc w:val="center"/>
              <w:rPr>
                <w:sz w:val="20"/>
              </w:rPr>
            </w:pPr>
            <w:r w:rsidRPr="00E75A1F">
              <w:rPr>
                <w:sz w:val="20"/>
              </w:rPr>
              <w:t>1</w:t>
            </w:r>
          </w:p>
        </w:tc>
        <w:tc>
          <w:tcPr>
            <w:tcW w:w="1624" w:type="dxa"/>
            <w:shd w:val="clear" w:color="auto" w:fill="BFBFBF" w:themeFill="background1" w:themeFillShade="BF"/>
            <w:vAlign w:val="center"/>
          </w:tcPr>
          <w:p w:rsidR="00E75A1F" w:rsidRPr="00E75A1F" w:rsidRDefault="00E75A1F" w:rsidP="00E75A1F">
            <w:pPr>
              <w:pStyle w:val="BodyText"/>
              <w:spacing w:after="0"/>
              <w:jc w:val="center"/>
              <w:rPr>
                <w:sz w:val="20"/>
              </w:rPr>
            </w:pPr>
            <w:r w:rsidRPr="00E75A1F">
              <w:rPr>
                <w:sz w:val="20"/>
              </w:rPr>
              <w:t>Minor</w:t>
            </w:r>
          </w:p>
          <w:p w:rsidR="00E75A1F" w:rsidRPr="00E75A1F" w:rsidRDefault="00E75A1F" w:rsidP="00E75A1F">
            <w:pPr>
              <w:pStyle w:val="BodyText"/>
              <w:spacing w:after="0"/>
              <w:jc w:val="center"/>
              <w:rPr>
                <w:sz w:val="20"/>
              </w:rPr>
            </w:pPr>
            <w:r w:rsidRPr="00E75A1F">
              <w:rPr>
                <w:sz w:val="20"/>
              </w:rPr>
              <w:t>2</w:t>
            </w:r>
          </w:p>
        </w:tc>
        <w:tc>
          <w:tcPr>
            <w:tcW w:w="1625" w:type="dxa"/>
            <w:shd w:val="clear" w:color="auto" w:fill="BFBFBF" w:themeFill="background1" w:themeFillShade="BF"/>
            <w:vAlign w:val="center"/>
          </w:tcPr>
          <w:p w:rsidR="00E75A1F" w:rsidRPr="00E75A1F" w:rsidRDefault="00E75A1F" w:rsidP="00E75A1F">
            <w:pPr>
              <w:pStyle w:val="BodyText"/>
              <w:spacing w:after="0"/>
              <w:jc w:val="center"/>
              <w:rPr>
                <w:sz w:val="20"/>
              </w:rPr>
            </w:pPr>
            <w:r w:rsidRPr="00E75A1F">
              <w:rPr>
                <w:sz w:val="20"/>
              </w:rPr>
              <w:t>Medium</w:t>
            </w:r>
          </w:p>
          <w:p w:rsidR="00E75A1F" w:rsidRPr="00E75A1F" w:rsidRDefault="00E75A1F" w:rsidP="00E75A1F">
            <w:pPr>
              <w:pStyle w:val="BodyText"/>
              <w:spacing w:after="0"/>
              <w:jc w:val="center"/>
              <w:rPr>
                <w:sz w:val="20"/>
              </w:rPr>
            </w:pPr>
            <w:r w:rsidRPr="00E75A1F">
              <w:rPr>
                <w:sz w:val="20"/>
              </w:rPr>
              <w:t>3</w:t>
            </w:r>
          </w:p>
        </w:tc>
        <w:tc>
          <w:tcPr>
            <w:tcW w:w="1625" w:type="dxa"/>
            <w:shd w:val="clear" w:color="auto" w:fill="BFBFBF" w:themeFill="background1" w:themeFillShade="BF"/>
            <w:vAlign w:val="center"/>
          </w:tcPr>
          <w:p w:rsidR="00E75A1F" w:rsidRPr="00E75A1F" w:rsidRDefault="00E75A1F" w:rsidP="00E75A1F">
            <w:pPr>
              <w:pStyle w:val="BodyText"/>
              <w:spacing w:after="0"/>
              <w:jc w:val="center"/>
              <w:rPr>
                <w:sz w:val="20"/>
              </w:rPr>
            </w:pPr>
            <w:r w:rsidRPr="00E75A1F">
              <w:rPr>
                <w:sz w:val="20"/>
              </w:rPr>
              <w:t>High</w:t>
            </w:r>
          </w:p>
          <w:p w:rsidR="00E75A1F" w:rsidRPr="00E75A1F" w:rsidRDefault="00E75A1F" w:rsidP="00E75A1F">
            <w:pPr>
              <w:pStyle w:val="BodyText"/>
              <w:spacing w:after="0"/>
              <w:jc w:val="center"/>
              <w:rPr>
                <w:sz w:val="20"/>
              </w:rPr>
            </w:pPr>
            <w:r w:rsidRPr="00E75A1F">
              <w:rPr>
                <w:sz w:val="20"/>
              </w:rPr>
              <w:t>4</w:t>
            </w:r>
          </w:p>
        </w:tc>
        <w:tc>
          <w:tcPr>
            <w:tcW w:w="1625" w:type="dxa"/>
            <w:shd w:val="clear" w:color="auto" w:fill="BFBFBF" w:themeFill="background1" w:themeFillShade="BF"/>
            <w:vAlign w:val="center"/>
          </w:tcPr>
          <w:p w:rsidR="00E75A1F" w:rsidRPr="00E75A1F" w:rsidRDefault="00E75A1F" w:rsidP="00E75A1F">
            <w:pPr>
              <w:pStyle w:val="BodyText"/>
              <w:spacing w:after="0"/>
              <w:jc w:val="center"/>
              <w:rPr>
                <w:sz w:val="20"/>
              </w:rPr>
            </w:pPr>
            <w:r w:rsidRPr="00E75A1F">
              <w:rPr>
                <w:sz w:val="20"/>
              </w:rPr>
              <w:t>Catastrophic</w:t>
            </w:r>
          </w:p>
          <w:p w:rsidR="00E75A1F" w:rsidRPr="00E75A1F" w:rsidRDefault="00E75A1F" w:rsidP="00E75A1F">
            <w:pPr>
              <w:pStyle w:val="BodyText"/>
              <w:spacing w:after="0"/>
              <w:jc w:val="center"/>
              <w:rPr>
                <w:sz w:val="20"/>
              </w:rPr>
            </w:pPr>
            <w:r w:rsidRPr="00E75A1F">
              <w:rPr>
                <w:sz w:val="20"/>
              </w:rPr>
              <w:t>5</w:t>
            </w:r>
          </w:p>
        </w:tc>
      </w:tr>
      <w:tr w:rsidR="00E75A1F" w:rsidRPr="00E75A1F" w:rsidTr="00E75A1F">
        <w:trPr>
          <w:jc w:val="center"/>
        </w:trPr>
        <w:tc>
          <w:tcPr>
            <w:tcW w:w="1624" w:type="dxa"/>
            <w:shd w:val="clear" w:color="auto" w:fill="BFBFBF" w:themeFill="background1" w:themeFillShade="BF"/>
            <w:vAlign w:val="center"/>
          </w:tcPr>
          <w:p w:rsidR="00E75A1F" w:rsidRPr="00E75A1F" w:rsidRDefault="00E75A1F" w:rsidP="00E75A1F">
            <w:pPr>
              <w:pStyle w:val="BodyText"/>
              <w:spacing w:after="0"/>
              <w:jc w:val="center"/>
              <w:rPr>
                <w:sz w:val="20"/>
              </w:rPr>
            </w:pPr>
            <w:r w:rsidRPr="00E75A1F">
              <w:rPr>
                <w:sz w:val="20"/>
              </w:rPr>
              <w:t>Almost Certain</w:t>
            </w:r>
          </w:p>
          <w:p w:rsidR="00E75A1F" w:rsidRPr="00E75A1F" w:rsidRDefault="00E75A1F" w:rsidP="00E75A1F">
            <w:pPr>
              <w:pStyle w:val="BodyText"/>
              <w:spacing w:after="0"/>
              <w:jc w:val="center"/>
              <w:rPr>
                <w:sz w:val="20"/>
              </w:rPr>
            </w:pPr>
            <w:r w:rsidRPr="00E75A1F">
              <w:rPr>
                <w:sz w:val="20"/>
              </w:rPr>
              <w:t>5</w:t>
            </w:r>
          </w:p>
        </w:tc>
        <w:tc>
          <w:tcPr>
            <w:tcW w:w="1624" w:type="dxa"/>
            <w:shd w:val="clear" w:color="auto" w:fill="FFFF00"/>
            <w:vAlign w:val="center"/>
          </w:tcPr>
          <w:p w:rsidR="00E75A1F" w:rsidRPr="00E75A1F" w:rsidRDefault="00E75A1F" w:rsidP="00E75A1F">
            <w:pPr>
              <w:pStyle w:val="BodyText"/>
              <w:spacing w:after="0"/>
              <w:jc w:val="center"/>
              <w:rPr>
                <w:sz w:val="20"/>
                <w:szCs w:val="20"/>
              </w:rPr>
            </w:pPr>
            <w:r w:rsidRPr="00E75A1F">
              <w:rPr>
                <w:sz w:val="20"/>
                <w:szCs w:val="20"/>
              </w:rPr>
              <w:t>Moderate</w:t>
            </w:r>
          </w:p>
        </w:tc>
        <w:tc>
          <w:tcPr>
            <w:tcW w:w="1624" w:type="dxa"/>
            <w:shd w:val="clear" w:color="auto" w:fill="FFFF00"/>
            <w:vAlign w:val="center"/>
          </w:tcPr>
          <w:p w:rsidR="00E75A1F" w:rsidRPr="00E75A1F" w:rsidRDefault="00E75A1F" w:rsidP="00E75A1F">
            <w:pPr>
              <w:pStyle w:val="BodyText"/>
              <w:spacing w:after="0"/>
              <w:jc w:val="center"/>
              <w:rPr>
                <w:sz w:val="20"/>
                <w:szCs w:val="20"/>
              </w:rPr>
            </w:pPr>
            <w:r w:rsidRPr="00E75A1F">
              <w:rPr>
                <w:sz w:val="20"/>
                <w:szCs w:val="20"/>
              </w:rPr>
              <w:t>Moderate</w:t>
            </w:r>
          </w:p>
        </w:tc>
        <w:tc>
          <w:tcPr>
            <w:tcW w:w="1625" w:type="dxa"/>
            <w:shd w:val="clear" w:color="auto" w:fill="E36C0A" w:themeFill="accent6" w:themeFillShade="BF"/>
            <w:vAlign w:val="center"/>
          </w:tcPr>
          <w:p w:rsidR="00E75A1F" w:rsidRPr="00E75A1F" w:rsidRDefault="00E75A1F" w:rsidP="00E75A1F">
            <w:pPr>
              <w:pStyle w:val="BodyText"/>
              <w:spacing w:after="0"/>
              <w:jc w:val="center"/>
              <w:rPr>
                <w:sz w:val="20"/>
                <w:szCs w:val="20"/>
              </w:rPr>
            </w:pPr>
            <w:r w:rsidRPr="00E75A1F">
              <w:rPr>
                <w:sz w:val="20"/>
                <w:szCs w:val="20"/>
              </w:rPr>
              <w:t>High</w:t>
            </w:r>
          </w:p>
        </w:tc>
        <w:tc>
          <w:tcPr>
            <w:tcW w:w="1625" w:type="dxa"/>
            <w:shd w:val="clear" w:color="auto" w:fill="FF0000"/>
            <w:vAlign w:val="center"/>
          </w:tcPr>
          <w:p w:rsidR="00E75A1F" w:rsidRPr="00E75A1F" w:rsidRDefault="00E75A1F" w:rsidP="00E75A1F">
            <w:pPr>
              <w:pStyle w:val="BodyText"/>
              <w:spacing w:after="0"/>
              <w:jc w:val="center"/>
              <w:rPr>
                <w:sz w:val="20"/>
                <w:szCs w:val="20"/>
              </w:rPr>
            </w:pPr>
            <w:r w:rsidRPr="00E75A1F">
              <w:rPr>
                <w:sz w:val="20"/>
                <w:szCs w:val="20"/>
              </w:rPr>
              <w:t>Extreme</w:t>
            </w:r>
          </w:p>
        </w:tc>
        <w:tc>
          <w:tcPr>
            <w:tcW w:w="1625" w:type="dxa"/>
            <w:shd w:val="clear" w:color="auto" w:fill="FF0000"/>
            <w:vAlign w:val="center"/>
          </w:tcPr>
          <w:p w:rsidR="00E75A1F" w:rsidRPr="00E75A1F" w:rsidRDefault="00E75A1F" w:rsidP="00E75A1F">
            <w:pPr>
              <w:pStyle w:val="BodyText"/>
              <w:spacing w:after="0"/>
              <w:jc w:val="center"/>
              <w:rPr>
                <w:sz w:val="20"/>
                <w:szCs w:val="20"/>
              </w:rPr>
            </w:pPr>
            <w:r w:rsidRPr="00E75A1F">
              <w:rPr>
                <w:sz w:val="20"/>
                <w:szCs w:val="20"/>
              </w:rPr>
              <w:t>Extreme</w:t>
            </w:r>
          </w:p>
        </w:tc>
      </w:tr>
      <w:tr w:rsidR="00E75A1F" w:rsidRPr="00E75A1F" w:rsidTr="00E75A1F">
        <w:trPr>
          <w:jc w:val="center"/>
        </w:trPr>
        <w:tc>
          <w:tcPr>
            <w:tcW w:w="1624" w:type="dxa"/>
            <w:shd w:val="clear" w:color="auto" w:fill="BFBFBF" w:themeFill="background1" w:themeFillShade="BF"/>
            <w:vAlign w:val="center"/>
          </w:tcPr>
          <w:p w:rsidR="00E75A1F" w:rsidRPr="00E75A1F" w:rsidRDefault="00E75A1F" w:rsidP="00E75A1F">
            <w:pPr>
              <w:pStyle w:val="BodyText"/>
              <w:spacing w:after="0"/>
              <w:jc w:val="center"/>
              <w:rPr>
                <w:sz w:val="20"/>
              </w:rPr>
            </w:pPr>
            <w:r w:rsidRPr="00E75A1F">
              <w:rPr>
                <w:sz w:val="20"/>
              </w:rPr>
              <w:t>Likely</w:t>
            </w:r>
          </w:p>
          <w:p w:rsidR="00E75A1F" w:rsidRPr="00E75A1F" w:rsidRDefault="00E75A1F" w:rsidP="00E75A1F">
            <w:pPr>
              <w:pStyle w:val="BodyText"/>
              <w:spacing w:after="0"/>
              <w:jc w:val="center"/>
              <w:rPr>
                <w:sz w:val="20"/>
              </w:rPr>
            </w:pPr>
            <w:r w:rsidRPr="00E75A1F">
              <w:rPr>
                <w:sz w:val="20"/>
              </w:rPr>
              <w:t>4</w:t>
            </w:r>
          </w:p>
        </w:tc>
        <w:tc>
          <w:tcPr>
            <w:tcW w:w="1624" w:type="dxa"/>
            <w:shd w:val="clear" w:color="auto" w:fill="C6D9F1" w:themeFill="text2" w:themeFillTint="33"/>
            <w:vAlign w:val="center"/>
          </w:tcPr>
          <w:p w:rsidR="00E75A1F" w:rsidRPr="00E75A1F" w:rsidRDefault="00E75A1F" w:rsidP="00E75A1F">
            <w:pPr>
              <w:pStyle w:val="BodyText"/>
              <w:spacing w:after="0"/>
              <w:jc w:val="center"/>
              <w:rPr>
                <w:sz w:val="20"/>
                <w:szCs w:val="20"/>
              </w:rPr>
            </w:pPr>
            <w:r w:rsidRPr="00E75A1F">
              <w:rPr>
                <w:sz w:val="20"/>
                <w:szCs w:val="20"/>
              </w:rPr>
              <w:t>Low</w:t>
            </w:r>
          </w:p>
        </w:tc>
        <w:tc>
          <w:tcPr>
            <w:tcW w:w="1624" w:type="dxa"/>
            <w:shd w:val="clear" w:color="auto" w:fill="FFFF00"/>
            <w:vAlign w:val="center"/>
          </w:tcPr>
          <w:p w:rsidR="00E75A1F" w:rsidRPr="00E75A1F" w:rsidRDefault="00E75A1F" w:rsidP="00E75A1F">
            <w:pPr>
              <w:pStyle w:val="BodyText"/>
              <w:spacing w:after="0"/>
              <w:jc w:val="center"/>
              <w:rPr>
                <w:sz w:val="20"/>
                <w:szCs w:val="20"/>
              </w:rPr>
            </w:pPr>
            <w:r w:rsidRPr="00E75A1F">
              <w:rPr>
                <w:sz w:val="20"/>
                <w:szCs w:val="20"/>
              </w:rPr>
              <w:t>Moderate</w:t>
            </w:r>
          </w:p>
        </w:tc>
        <w:tc>
          <w:tcPr>
            <w:tcW w:w="1625" w:type="dxa"/>
            <w:shd w:val="clear" w:color="auto" w:fill="E36C0A" w:themeFill="accent6" w:themeFillShade="BF"/>
            <w:vAlign w:val="center"/>
          </w:tcPr>
          <w:p w:rsidR="00E75A1F" w:rsidRPr="00E75A1F" w:rsidRDefault="00E75A1F" w:rsidP="00E75A1F">
            <w:pPr>
              <w:pStyle w:val="BodyText"/>
              <w:spacing w:after="0"/>
              <w:jc w:val="center"/>
              <w:rPr>
                <w:sz w:val="20"/>
                <w:szCs w:val="20"/>
              </w:rPr>
            </w:pPr>
            <w:r w:rsidRPr="00E75A1F">
              <w:rPr>
                <w:sz w:val="20"/>
                <w:szCs w:val="20"/>
              </w:rPr>
              <w:t>High</w:t>
            </w:r>
          </w:p>
        </w:tc>
        <w:tc>
          <w:tcPr>
            <w:tcW w:w="1625" w:type="dxa"/>
            <w:shd w:val="clear" w:color="auto" w:fill="E36C0A" w:themeFill="accent6" w:themeFillShade="BF"/>
            <w:vAlign w:val="center"/>
          </w:tcPr>
          <w:p w:rsidR="00E75A1F" w:rsidRPr="00E75A1F" w:rsidRDefault="00E75A1F" w:rsidP="00E75A1F">
            <w:pPr>
              <w:pStyle w:val="BodyText"/>
              <w:spacing w:after="0"/>
              <w:jc w:val="center"/>
              <w:rPr>
                <w:sz w:val="20"/>
                <w:szCs w:val="20"/>
              </w:rPr>
            </w:pPr>
            <w:r w:rsidRPr="00E75A1F">
              <w:rPr>
                <w:sz w:val="20"/>
                <w:szCs w:val="20"/>
              </w:rPr>
              <w:t>High</w:t>
            </w:r>
          </w:p>
        </w:tc>
        <w:tc>
          <w:tcPr>
            <w:tcW w:w="1625" w:type="dxa"/>
            <w:shd w:val="clear" w:color="auto" w:fill="FF0000"/>
            <w:vAlign w:val="center"/>
          </w:tcPr>
          <w:p w:rsidR="00E75A1F" w:rsidRPr="00E75A1F" w:rsidRDefault="00E75A1F" w:rsidP="00E75A1F">
            <w:pPr>
              <w:pStyle w:val="BodyText"/>
              <w:spacing w:after="0"/>
              <w:jc w:val="center"/>
              <w:rPr>
                <w:sz w:val="20"/>
                <w:szCs w:val="20"/>
              </w:rPr>
            </w:pPr>
            <w:r w:rsidRPr="00E75A1F">
              <w:rPr>
                <w:sz w:val="20"/>
                <w:szCs w:val="20"/>
              </w:rPr>
              <w:t>Extreme</w:t>
            </w:r>
          </w:p>
        </w:tc>
      </w:tr>
      <w:tr w:rsidR="00E75A1F" w:rsidRPr="00E75A1F" w:rsidTr="00E75A1F">
        <w:trPr>
          <w:jc w:val="center"/>
        </w:trPr>
        <w:tc>
          <w:tcPr>
            <w:tcW w:w="1624" w:type="dxa"/>
            <w:shd w:val="clear" w:color="auto" w:fill="BFBFBF" w:themeFill="background1" w:themeFillShade="BF"/>
            <w:vAlign w:val="center"/>
          </w:tcPr>
          <w:p w:rsidR="00E75A1F" w:rsidRPr="00E75A1F" w:rsidRDefault="00E75A1F" w:rsidP="00E75A1F">
            <w:pPr>
              <w:pStyle w:val="BodyText"/>
              <w:spacing w:after="0"/>
              <w:jc w:val="center"/>
              <w:rPr>
                <w:sz w:val="20"/>
              </w:rPr>
            </w:pPr>
            <w:r w:rsidRPr="00E75A1F">
              <w:rPr>
                <w:sz w:val="20"/>
              </w:rPr>
              <w:t>Possible</w:t>
            </w:r>
          </w:p>
          <w:p w:rsidR="00E75A1F" w:rsidRPr="00E75A1F" w:rsidRDefault="00E75A1F" w:rsidP="00E75A1F">
            <w:pPr>
              <w:pStyle w:val="BodyText"/>
              <w:spacing w:after="0"/>
              <w:jc w:val="center"/>
              <w:rPr>
                <w:sz w:val="20"/>
              </w:rPr>
            </w:pPr>
            <w:r w:rsidRPr="00E75A1F">
              <w:rPr>
                <w:sz w:val="20"/>
              </w:rPr>
              <w:t>3</w:t>
            </w:r>
          </w:p>
        </w:tc>
        <w:tc>
          <w:tcPr>
            <w:tcW w:w="1624" w:type="dxa"/>
            <w:shd w:val="clear" w:color="auto" w:fill="C6D9F1" w:themeFill="text2" w:themeFillTint="33"/>
            <w:vAlign w:val="center"/>
          </w:tcPr>
          <w:p w:rsidR="00E75A1F" w:rsidRPr="00E75A1F" w:rsidRDefault="00E75A1F" w:rsidP="00E75A1F">
            <w:pPr>
              <w:pStyle w:val="BodyText"/>
              <w:spacing w:after="0"/>
              <w:jc w:val="center"/>
              <w:rPr>
                <w:sz w:val="20"/>
                <w:szCs w:val="20"/>
              </w:rPr>
            </w:pPr>
            <w:r w:rsidRPr="00E75A1F">
              <w:rPr>
                <w:sz w:val="20"/>
                <w:szCs w:val="20"/>
              </w:rPr>
              <w:t>Low</w:t>
            </w:r>
          </w:p>
        </w:tc>
        <w:tc>
          <w:tcPr>
            <w:tcW w:w="1624" w:type="dxa"/>
            <w:shd w:val="clear" w:color="auto" w:fill="C6D9F1" w:themeFill="text2" w:themeFillTint="33"/>
            <w:vAlign w:val="center"/>
          </w:tcPr>
          <w:p w:rsidR="00E75A1F" w:rsidRPr="00E75A1F" w:rsidRDefault="00E75A1F" w:rsidP="00E75A1F">
            <w:pPr>
              <w:pStyle w:val="BodyText"/>
              <w:spacing w:after="0"/>
              <w:jc w:val="center"/>
              <w:rPr>
                <w:sz w:val="20"/>
                <w:szCs w:val="20"/>
              </w:rPr>
            </w:pPr>
            <w:r w:rsidRPr="00E75A1F">
              <w:rPr>
                <w:sz w:val="20"/>
                <w:szCs w:val="20"/>
              </w:rPr>
              <w:t>Low</w:t>
            </w:r>
          </w:p>
        </w:tc>
        <w:tc>
          <w:tcPr>
            <w:tcW w:w="1625" w:type="dxa"/>
            <w:shd w:val="clear" w:color="auto" w:fill="FFFF00"/>
            <w:vAlign w:val="center"/>
          </w:tcPr>
          <w:p w:rsidR="00E75A1F" w:rsidRPr="00E75A1F" w:rsidRDefault="00E75A1F" w:rsidP="00E75A1F">
            <w:pPr>
              <w:pStyle w:val="BodyText"/>
              <w:spacing w:after="0"/>
              <w:jc w:val="center"/>
              <w:rPr>
                <w:sz w:val="20"/>
                <w:szCs w:val="20"/>
              </w:rPr>
            </w:pPr>
            <w:r w:rsidRPr="00E75A1F">
              <w:rPr>
                <w:sz w:val="20"/>
                <w:szCs w:val="20"/>
              </w:rPr>
              <w:t>Moderate</w:t>
            </w:r>
          </w:p>
        </w:tc>
        <w:tc>
          <w:tcPr>
            <w:tcW w:w="1625" w:type="dxa"/>
            <w:shd w:val="clear" w:color="auto" w:fill="E36C0A" w:themeFill="accent6" w:themeFillShade="BF"/>
            <w:vAlign w:val="center"/>
          </w:tcPr>
          <w:p w:rsidR="00E75A1F" w:rsidRPr="00E75A1F" w:rsidRDefault="00E75A1F" w:rsidP="00E75A1F">
            <w:pPr>
              <w:pStyle w:val="BodyText"/>
              <w:spacing w:after="0"/>
              <w:jc w:val="center"/>
              <w:rPr>
                <w:sz w:val="20"/>
                <w:szCs w:val="20"/>
              </w:rPr>
            </w:pPr>
            <w:r w:rsidRPr="00E75A1F">
              <w:rPr>
                <w:sz w:val="20"/>
                <w:szCs w:val="20"/>
              </w:rPr>
              <w:t>High</w:t>
            </w:r>
          </w:p>
        </w:tc>
        <w:tc>
          <w:tcPr>
            <w:tcW w:w="1625" w:type="dxa"/>
            <w:shd w:val="clear" w:color="auto" w:fill="E36C0A" w:themeFill="accent6" w:themeFillShade="BF"/>
            <w:vAlign w:val="center"/>
          </w:tcPr>
          <w:p w:rsidR="00E75A1F" w:rsidRPr="00E75A1F" w:rsidRDefault="00E75A1F" w:rsidP="00E75A1F">
            <w:pPr>
              <w:pStyle w:val="BodyText"/>
              <w:spacing w:after="0"/>
              <w:jc w:val="center"/>
              <w:rPr>
                <w:sz w:val="20"/>
                <w:szCs w:val="20"/>
              </w:rPr>
            </w:pPr>
            <w:r w:rsidRPr="00E75A1F">
              <w:rPr>
                <w:sz w:val="20"/>
                <w:szCs w:val="20"/>
              </w:rPr>
              <w:t>High</w:t>
            </w:r>
          </w:p>
        </w:tc>
      </w:tr>
      <w:tr w:rsidR="00E75A1F" w:rsidRPr="00E75A1F" w:rsidTr="00E75A1F">
        <w:trPr>
          <w:jc w:val="center"/>
        </w:trPr>
        <w:tc>
          <w:tcPr>
            <w:tcW w:w="1624" w:type="dxa"/>
            <w:shd w:val="clear" w:color="auto" w:fill="BFBFBF" w:themeFill="background1" w:themeFillShade="BF"/>
            <w:vAlign w:val="center"/>
          </w:tcPr>
          <w:p w:rsidR="00E75A1F" w:rsidRPr="00E75A1F" w:rsidRDefault="00E75A1F" w:rsidP="00E75A1F">
            <w:pPr>
              <w:pStyle w:val="BodyText"/>
              <w:spacing w:after="0"/>
              <w:jc w:val="center"/>
              <w:rPr>
                <w:sz w:val="20"/>
              </w:rPr>
            </w:pPr>
            <w:r w:rsidRPr="00E75A1F">
              <w:rPr>
                <w:sz w:val="20"/>
              </w:rPr>
              <w:t>Unlikely</w:t>
            </w:r>
          </w:p>
          <w:p w:rsidR="00E75A1F" w:rsidRPr="00E75A1F" w:rsidRDefault="00E75A1F" w:rsidP="00E75A1F">
            <w:pPr>
              <w:pStyle w:val="BodyText"/>
              <w:spacing w:after="0"/>
              <w:jc w:val="center"/>
              <w:rPr>
                <w:sz w:val="20"/>
              </w:rPr>
            </w:pPr>
            <w:r w:rsidRPr="00E75A1F">
              <w:rPr>
                <w:sz w:val="20"/>
              </w:rPr>
              <w:t>2</w:t>
            </w:r>
          </w:p>
        </w:tc>
        <w:tc>
          <w:tcPr>
            <w:tcW w:w="1624" w:type="dxa"/>
            <w:shd w:val="clear" w:color="auto" w:fill="92D050"/>
            <w:vAlign w:val="center"/>
          </w:tcPr>
          <w:p w:rsidR="00E75A1F" w:rsidRPr="00E75A1F" w:rsidRDefault="00E75A1F" w:rsidP="00E75A1F">
            <w:pPr>
              <w:pStyle w:val="BodyText"/>
              <w:spacing w:after="0"/>
              <w:jc w:val="center"/>
              <w:rPr>
                <w:sz w:val="20"/>
                <w:szCs w:val="20"/>
              </w:rPr>
            </w:pPr>
            <w:r w:rsidRPr="00E75A1F">
              <w:rPr>
                <w:sz w:val="20"/>
                <w:szCs w:val="20"/>
              </w:rPr>
              <w:t>Very Low</w:t>
            </w:r>
          </w:p>
        </w:tc>
        <w:tc>
          <w:tcPr>
            <w:tcW w:w="1624" w:type="dxa"/>
            <w:shd w:val="clear" w:color="auto" w:fill="C6D9F1" w:themeFill="text2" w:themeFillTint="33"/>
            <w:vAlign w:val="center"/>
          </w:tcPr>
          <w:p w:rsidR="00E75A1F" w:rsidRPr="00E75A1F" w:rsidRDefault="00E75A1F" w:rsidP="00E75A1F">
            <w:pPr>
              <w:pStyle w:val="BodyText"/>
              <w:spacing w:after="0"/>
              <w:jc w:val="center"/>
              <w:rPr>
                <w:sz w:val="20"/>
                <w:szCs w:val="20"/>
              </w:rPr>
            </w:pPr>
            <w:r w:rsidRPr="00E75A1F">
              <w:rPr>
                <w:sz w:val="20"/>
                <w:szCs w:val="20"/>
              </w:rPr>
              <w:t>Low</w:t>
            </w:r>
          </w:p>
        </w:tc>
        <w:tc>
          <w:tcPr>
            <w:tcW w:w="1625" w:type="dxa"/>
            <w:shd w:val="clear" w:color="auto" w:fill="FFFF00"/>
            <w:vAlign w:val="center"/>
          </w:tcPr>
          <w:p w:rsidR="00E75A1F" w:rsidRPr="00E75A1F" w:rsidRDefault="00E75A1F" w:rsidP="00E75A1F">
            <w:pPr>
              <w:pStyle w:val="BodyText"/>
              <w:spacing w:after="0"/>
              <w:jc w:val="center"/>
              <w:rPr>
                <w:sz w:val="20"/>
                <w:szCs w:val="20"/>
              </w:rPr>
            </w:pPr>
            <w:r w:rsidRPr="00E75A1F">
              <w:rPr>
                <w:sz w:val="20"/>
                <w:szCs w:val="20"/>
              </w:rPr>
              <w:t>Moderate</w:t>
            </w:r>
          </w:p>
        </w:tc>
        <w:tc>
          <w:tcPr>
            <w:tcW w:w="1625" w:type="dxa"/>
            <w:shd w:val="clear" w:color="auto" w:fill="FFFF00"/>
            <w:vAlign w:val="center"/>
          </w:tcPr>
          <w:p w:rsidR="00E75A1F" w:rsidRPr="00E75A1F" w:rsidRDefault="00E75A1F" w:rsidP="00E75A1F">
            <w:pPr>
              <w:pStyle w:val="BodyText"/>
              <w:spacing w:after="0"/>
              <w:jc w:val="center"/>
              <w:rPr>
                <w:sz w:val="20"/>
                <w:szCs w:val="20"/>
              </w:rPr>
            </w:pPr>
            <w:r w:rsidRPr="00E75A1F">
              <w:rPr>
                <w:sz w:val="20"/>
                <w:szCs w:val="20"/>
              </w:rPr>
              <w:t>Moderate</w:t>
            </w:r>
          </w:p>
        </w:tc>
        <w:tc>
          <w:tcPr>
            <w:tcW w:w="1625" w:type="dxa"/>
            <w:shd w:val="clear" w:color="auto" w:fill="E36C0A" w:themeFill="accent6" w:themeFillShade="BF"/>
            <w:vAlign w:val="center"/>
          </w:tcPr>
          <w:p w:rsidR="00E75A1F" w:rsidRPr="00E75A1F" w:rsidRDefault="00E75A1F" w:rsidP="00E75A1F">
            <w:pPr>
              <w:pStyle w:val="BodyText"/>
              <w:spacing w:after="0"/>
              <w:jc w:val="center"/>
              <w:rPr>
                <w:sz w:val="20"/>
                <w:szCs w:val="20"/>
              </w:rPr>
            </w:pPr>
            <w:r w:rsidRPr="00E75A1F">
              <w:rPr>
                <w:sz w:val="20"/>
                <w:szCs w:val="20"/>
              </w:rPr>
              <w:t>High</w:t>
            </w:r>
          </w:p>
        </w:tc>
      </w:tr>
      <w:tr w:rsidR="00E75A1F" w:rsidRPr="00E75A1F" w:rsidTr="00E75A1F">
        <w:trPr>
          <w:jc w:val="center"/>
        </w:trPr>
        <w:tc>
          <w:tcPr>
            <w:tcW w:w="1624" w:type="dxa"/>
            <w:shd w:val="clear" w:color="auto" w:fill="BFBFBF" w:themeFill="background1" w:themeFillShade="BF"/>
            <w:vAlign w:val="center"/>
          </w:tcPr>
          <w:p w:rsidR="00E75A1F" w:rsidRPr="00E75A1F" w:rsidRDefault="00E75A1F" w:rsidP="00E75A1F">
            <w:pPr>
              <w:pStyle w:val="BodyText"/>
              <w:spacing w:after="0"/>
              <w:jc w:val="center"/>
              <w:rPr>
                <w:sz w:val="20"/>
              </w:rPr>
            </w:pPr>
            <w:r w:rsidRPr="00E75A1F">
              <w:rPr>
                <w:sz w:val="20"/>
              </w:rPr>
              <w:t>Rare</w:t>
            </w:r>
          </w:p>
          <w:p w:rsidR="00E75A1F" w:rsidRPr="00E75A1F" w:rsidRDefault="00E75A1F" w:rsidP="00E75A1F">
            <w:pPr>
              <w:pStyle w:val="BodyText"/>
              <w:spacing w:after="0"/>
              <w:jc w:val="center"/>
              <w:rPr>
                <w:sz w:val="20"/>
              </w:rPr>
            </w:pPr>
            <w:r w:rsidRPr="00E75A1F">
              <w:rPr>
                <w:sz w:val="20"/>
              </w:rPr>
              <w:t>1</w:t>
            </w:r>
          </w:p>
        </w:tc>
        <w:tc>
          <w:tcPr>
            <w:tcW w:w="1624" w:type="dxa"/>
            <w:shd w:val="clear" w:color="auto" w:fill="92D050"/>
            <w:vAlign w:val="center"/>
          </w:tcPr>
          <w:p w:rsidR="00E75A1F" w:rsidRPr="00E75A1F" w:rsidRDefault="00E75A1F" w:rsidP="00E75A1F">
            <w:pPr>
              <w:pStyle w:val="BodyText"/>
              <w:spacing w:after="0"/>
              <w:jc w:val="center"/>
              <w:rPr>
                <w:sz w:val="20"/>
                <w:szCs w:val="20"/>
              </w:rPr>
            </w:pPr>
            <w:r w:rsidRPr="00E75A1F">
              <w:rPr>
                <w:sz w:val="20"/>
                <w:szCs w:val="20"/>
              </w:rPr>
              <w:t>Very Low</w:t>
            </w:r>
          </w:p>
        </w:tc>
        <w:tc>
          <w:tcPr>
            <w:tcW w:w="1624" w:type="dxa"/>
            <w:shd w:val="clear" w:color="auto" w:fill="92D050"/>
            <w:vAlign w:val="center"/>
          </w:tcPr>
          <w:p w:rsidR="00E75A1F" w:rsidRPr="00E75A1F" w:rsidRDefault="00E75A1F" w:rsidP="00E75A1F">
            <w:pPr>
              <w:pStyle w:val="BodyText"/>
              <w:spacing w:after="0"/>
              <w:jc w:val="center"/>
              <w:rPr>
                <w:sz w:val="20"/>
                <w:szCs w:val="20"/>
              </w:rPr>
            </w:pPr>
            <w:r w:rsidRPr="00E75A1F">
              <w:rPr>
                <w:sz w:val="20"/>
                <w:szCs w:val="20"/>
              </w:rPr>
              <w:t>Very Low</w:t>
            </w:r>
          </w:p>
        </w:tc>
        <w:tc>
          <w:tcPr>
            <w:tcW w:w="1625" w:type="dxa"/>
            <w:shd w:val="clear" w:color="auto" w:fill="C6D9F1" w:themeFill="text2" w:themeFillTint="33"/>
            <w:vAlign w:val="center"/>
          </w:tcPr>
          <w:p w:rsidR="00E75A1F" w:rsidRPr="00E75A1F" w:rsidRDefault="00E75A1F" w:rsidP="00E75A1F">
            <w:pPr>
              <w:pStyle w:val="BodyText"/>
              <w:spacing w:after="0"/>
              <w:jc w:val="center"/>
              <w:rPr>
                <w:sz w:val="20"/>
                <w:szCs w:val="20"/>
              </w:rPr>
            </w:pPr>
            <w:r w:rsidRPr="00E75A1F">
              <w:rPr>
                <w:sz w:val="20"/>
                <w:szCs w:val="20"/>
              </w:rPr>
              <w:t>Low</w:t>
            </w:r>
          </w:p>
        </w:tc>
        <w:tc>
          <w:tcPr>
            <w:tcW w:w="1625" w:type="dxa"/>
            <w:shd w:val="clear" w:color="auto" w:fill="FFFF00"/>
            <w:vAlign w:val="center"/>
          </w:tcPr>
          <w:p w:rsidR="00E75A1F" w:rsidRPr="00E75A1F" w:rsidRDefault="00E75A1F" w:rsidP="00E75A1F">
            <w:pPr>
              <w:pStyle w:val="BodyText"/>
              <w:spacing w:after="0"/>
              <w:jc w:val="center"/>
              <w:rPr>
                <w:sz w:val="20"/>
                <w:szCs w:val="20"/>
              </w:rPr>
            </w:pPr>
            <w:r w:rsidRPr="00E75A1F">
              <w:rPr>
                <w:sz w:val="20"/>
                <w:szCs w:val="20"/>
              </w:rPr>
              <w:t>Moderate</w:t>
            </w:r>
          </w:p>
        </w:tc>
        <w:tc>
          <w:tcPr>
            <w:tcW w:w="1625" w:type="dxa"/>
            <w:shd w:val="clear" w:color="auto" w:fill="FFFF00"/>
            <w:vAlign w:val="center"/>
          </w:tcPr>
          <w:p w:rsidR="00E75A1F" w:rsidRPr="00E75A1F" w:rsidRDefault="00E75A1F" w:rsidP="00E75A1F">
            <w:pPr>
              <w:pStyle w:val="BodyText"/>
              <w:spacing w:after="0"/>
              <w:jc w:val="center"/>
              <w:rPr>
                <w:sz w:val="20"/>
                <w:szCs w:val="20"/>
              </w:rPr>
            </w:pPr>
            <w:r w:rsidRPr="00E75A1F">
              <w:rPr>
                <w:sz w:val="20"/>
                <w:szCs w:val="20"/>
              </w:rPr>
              <w:t>Moderate</w:t>
            </w:r>
          </w:p>
        </w:tc>
      </w:tr>
    </w:tbl>
    <w:p w:rsidR="00630F07" w:rsidRPr="00AC594F" w:rsidRDefault="00630F07" w:rsidP="00E07085">
      <w:pPr>
        <w:pStyle w:val="BodyText"/>
      </w:pPr>
    </w:p>
    <w:sectPr w:rsidR="00630F07" w:rsidRPr="00AC594F" w:rsidSect="00AC594F">
      <w:pgSz w:w="11906" w:h="16838"/>
      <w:pgMar w:top="709" w:right="1440" w:bottom="144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641C" w:rsidRDefault="002E641C" w:rsidP="00362CD9">
      <w:r>
        <w:separator/>
      </w:r>
    </w:p>
  </w:endnote>
  <w:endnote w:type="continuationSeparator" w:id="0">
    <w:p w:rsidR="002E641C" w:rsidRDefault="002E641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6797" w:rsidRPr="001F6797" w:rsidRDefault="001F6797" w:rsidP="001F6797">
    <w:pPr>
      <w:pStyle w:val="Footer"/>
      <w:rPr>
        <w:rFonts w:ascii="Calibri" w:hAnsi="Calibri"/>
        <w:b/>
        <w:bCs/>
        <w:sz w:val="20"/>
        <w:szCs w:val="20"/>
      </w:rPr>
    </w:pPr>
    <w:r w:rsidRPr="001F6797">
      <w:rPr>
        <w:rFonts w:ascii="Calibri" w:hAnsi="Calibri"/>
        <w:b/>
        <w:bCs/>
        <w:sz w:val="20"/>
        <w:szCs w:val="20"/>
      </w:rPr>
      <w:t>Use of the Simplified IALA Risk Assessment tool (G1138)</w:t>
    </w:r>
  </w:p>
  <w:p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CC4E03">
      <w:rPr>
        <w:rFonts w:ascii="Calibri" w:hAnsi="Calibri"/>
        <w:noProof/>
      </w:rPr>
      <w:t>3</w:t>
    </w:r>
    <w:r w:rsidRPr="00036B9E">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594F" w:rsidRDefault="00AC59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594F" w:rsidRDefault="00AC594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594F" w:rsidRDefault="00AC59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641C" w:rsidRDefault="002E641C" w:rsidP="00362CD9">
      <w:r>
        <w:separator/>
      </w:r>
    </w:p>
  </w:footnote>
  <w:footnote w:type="continuationSeparator" w:id="0">
    <w:p w:rsidR="002E641C" w:rsidRDefault="002E641C"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346C" w:rsidRDefault="002E641C">
    <w:pPr>
      <w:pStyle w:val="Header"/>
    </w:pPr>
    <w:r>
      <w:rPr>
        <w:noProof/>
      </w:rPr>
      <w:pict w14:anchorId="0C8F1B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346C" w:rsidRDefault="007A395D" w:rsidP="007A395D">
    <w:pPr>
      <w:pStyle w:val="Header"/>
      <w:jc w:val="right"/>
    </w:pPr>
    <w:r>
      <w:rPr>
        <w:noProof/>
        <w:lang w:val="en-AU" w:eastAsia="en-AU"/>
      </w:rPr>
      <w:drawing>
        <wp:anchor distT="0" distB="0" distL="114300" distR="114300" simplePos="0" relativeHeight="251665408" behindDoc="0" locked="0" layoutInCell="1" allowOverlap="1" wp14:anchorId="692C3F5A" wp14:editId="618752A2">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2E641C">
      <w:rPr>
        <w:noProof/>
      </w:rPr>
      <w:pict w14:anchorId="1F7A03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2334" w:rsidRDefault="00BC2334" w:rsidP="007A395D">
    <w:pPr>
      <w:pStyle w:val="Header"/>
      <w:jc w:val="center"/>
    </w:pPr>
    <w:r>
      <w:rPr>
        <w:noProof/>
        <w:lang w:val="en-AU" w:eastAsia="en-AU"/>
      </w:rPr>
      <w:drawing>
        <wp:anchor distT="0" distB="0" distL="114300" distR="114300" simplePos="0" relativeHeight="251658240" behindDoc="0" locked="0" layoutInCell="1" allowOverlap="1" wp14:anchorId="26D66FD0" wp14:editId="0B8C5735">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rsidR="00BC2334" w:rsidRDefault="00BC2334" w:rsidP="007A395D">
    <w:pPr>
      <w:pStyle w:val="Header"/>
      <w:jc w:val="center"/>
    </w:pPr>
  </w:p>
  <w:p w:rsidR="007C346C" w:rsidRDefault="002E641C" w:rsidP="007A395D">
    <w:pPr>
      <w:pStyle w:val="Header"/>
      <w:jc w:val="center"/>
    </w:pPr>
    <w:r>
      <w:rPr>
        <w:noProof/>
      </w:rPr>
      <w:pict w14:anchorId="21FA3B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594F" w:rsidRDefault="00AC594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5276282"/>
      <w:docPartObj>
        <w:docPartGallery w:val="Watermarks"/>
        <w:docPartUnique/>
      </w:docPartObj>
    </w:sdtPr>
    <w:sdtEndPr/>
    <w:sdtContent>
      <w:p w:rsidR="00AC594F" w:rsidRDefault="002E641C">
        <w:pPr>
          <w:pStyle w:val="Header"/>
        </w:pPr>
        <w:r>
          <w:rPr>
            <w:noProof/>
            <w:lang w:val="en-US" w:eastAsia="en-US"/>
          </w:rPr>
          <w:pict w14:anchorId="17BC62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margin-left:0;margin-top:0;width:412.4pt;height:247.45pt;rotation:315;z-index:-2516490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594F" w:rsidRDefault="00AC59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EE1B15"/>
    <w:multiLevelType w:val="hybridMultilevel"/>
    <w:tmpl w:val="6B82CF04"/>
    <w:lvl w:ilvl="0" w:tplc="0C09000F">
      <w:start w:val="1"/>
      <w:numFmt w:val="decimal"/>
      <w:lvlText w:val="%1."/>
      <w:lvlJc w:val="left"/>
      <w:pPr>
        <w:ind w:left="720" w:hanging="360"/>
      </w:pPr>
      <w:rPr>
        <w:rFonts w:hint="default"/>
      </w:rPr>
    </w:lvl>
    <w:lvl w:ilvl="1" w:tplc="0C09000F">
      <w:start w:val="1"/>
      <w:numFmt w:val="decimal"/>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DE6EE2"/>
    <w:multiLevelType w:val="hybridMultilevel"/>
    <w:tmpl w:val="5770F6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2C6A3D"/>
    <w:multiLevelType w:val="hybridMultilevel"/>
    <w:tmpl w:val="E4CAB4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86343D"/>
    <w:multiLevelType w:val="hybridMultilevel"/>
    <w:tmpl w:val="6D641D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2F2E0B"/>
    <w:multiLevelType w:val="hybridMultilevel"/>
    <w:tmpl w:val="DC506A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D4038B6"/>
    <w:multiLevelType w:val="hybridMultilevel"/>
    <w:tmpl w:val="23F283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BE55267"/>
    <w:multiLevelType w:val="hybridMultilevel"/>
    <w:tmpl w:val="1E58A1A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D6264B5"/>
    <w:multiLevelType w:val="hybridMultilevel"/>
    <w:tmpl w:val="5624216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BCD7633"/>
    <w:multiLevelType w:val="hybridMultilevel"/>
    <w:tmpl w:val="D14E5DD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12A259F"/>
    <w:multiLevelType w:val="hybridMultilevel"/>
    <w:tmpl w:val="D7C67A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1AB061D"/>
    <w:multiLevelType w:val="hybridMultilevel"/>
    <w:tmpl w:val="5578404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7" w15:restartNumberingAfterBreak="0">
    <w:nsid w:val="7F3D1833"/>
    <w:multiLevelType w:val="hybridMultilevel"/>
    <w:tmpl w:val="0B8C39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15"/>
  </w:num>
  <w:num w:numId="3">
    <w:abstractNumId w:val="2"/>
  </w:num>
  <w:num w:numId="4">
    <w:abstractNumId w:val="23"/>
  </w:num>
  <w:num w:numId="5">
    <w:abstractNumId w:val="11"/>
  </w:num>
  <w:num w:numId="6">
    <w:abstractNumId w:val="9"/>
  </w:num>
  <w:num w:numId="7">
    <w:abstractNumId w:val="17"/>
  </w:num>
  <w:num w:numId="8">
    <w:abstractNumId w:val="16"/>
  </w:num>
  <w:num w:numId="9">
    <w:abstractNumId w:val="22"/>
  </w:num>
  <w:num w:numId="10">
    <w:abstractNumId w:val="8"/>
  </w:num>
  <w:num w:numId="11">
    <w:abstractNumId w:val="20"/>
  </w:num>
  <w:num w:numId="12">
    <w:abstractNumId w:val="13"/>
  </w:num>
  <w:num w:numId="13">
    <w:abstractNumId w:val="12"/>
  </w:num>
  <w:num w:numId="14">
    <w:abstractNumId w:val="6"/>
  </w:num>
  <w:num w:numId="15">
    <w:abstractNumId w:val="1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6"/>
  </w:num>
  <w:num w:numId="19">
    <w:abstractNumId w:val="4"/>
  </w:num>
  <w:num w:numId="20">
    <w:abstractNumId w:val="19"/>
  </w:num>
  <w:num w:numId="21">
    <w:abstractNumId w:val="18"/>
  </w:num>
  <w:num w:numId="22">
    <w:abstractNumId w:val="25"/>
  </w:num>
  <w:num w:numId="23">
    <w:abstractNumId w:val="24"/>
  </w:num>
  <w:num w:numId="24">
    <w:abstractNumId w:val="27"/>
  </w:num>
  <w:num w:numId="25">
    <w:abstractNumId w:val="7"/>
  </w:num>
  <w:num w:numId="26">
    <w:abstractNumId w:val="5"/>
  </w:num>
  <w:num w:numId="27">
    <w:abstractNumId w:val="10"/>
  </w:num>
  <w:num w:numId="28">
    <w:abstractNumId w:val="1"/>
  </w:num>
  <w:num w:numId="29">
    <w:abstractNumId w:val="3"/>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B9E"/>
    <w:rsid w:val="00036BCD"/>
    <w:rsid w:val="00037DF4"/>
    <w:rsid w:val="0004700E"/>
    <w:rsid w:val="0006788C"/>
    <w:rsid w:val="00070C13"/>
    <w:rsid w:val="000715C9"/>
    <w:rsid w:val="00084F33"/>
    <w:rsid w:val="000A77A7"/>
    <w:rsid w:val="000B1707"/>
    <w:rsid w:val="000C1B3E"/>
    <w:rsid w:val="000C349E"/>
    <w:rsid w:val="001012C8"/>
    <w:rsid w:val="00110AE7"/>
    <w:rsid w:val="00177F4D"/>
    <w:rsid w:val="00180DDA"/>
    <w:rsid w:val="001917A9"/>
    <w:rsid w:val="001B2A2D"/>
    <w:rsid w:val="001B737D"/>
    <w:rsid w:val="001C44A3"/>
    <w:rsid w:val="001E0E15"/>
    <w:rsid w:val="001E1CB2"/>
    <w:rsid w:val="001F528A"/>
    <w:rsid w:val="001F6797"/>
    <w:rsid w:val="001F704E"/>
    <w:rsid w:val="00201722"/>
    <w:rsid w:val="002125B0"/>
    <w:rsid w:val="00243228"/>
    <w:rsid w:val="002471BE"/>
    <w:rsid w:val="00251483"/>
    <w:rsid w:val="00255CAA"/>
    <w:rsid w:val="00264305"/>
    <w:rsid w:val="00273D02"/>
    <w:rsid w:val="002A0346"/>
    <w:rsid w:val="002A4487"/>
    <w:rsid w:val="002B32A1"/>
    <w:rsid w:val="002B49E9"/>
    <w:rsid w:val="002C632E"/>
    <w:rsid w:val="002D3E8B"/>
    <w:rsid w:val="002D4575"/>
    <w:rsid w:val="002D5C0C"/>
    <w:rsid w:val="002D6CE9"/>
    <w:rsid w:val="002E03D1"/>
    <w:rsid w:val="002E5060"/>
    <w:rsid w:val="002E573F"/>
    <w:rsid w:val="002E641C"/>
    <w:rsid w:val="002E6B74"/>
    <w:rsid w:val="002E6FCA"/>
    <w:rsid w:val="002F6418"/>
    <w:rsid w:val="00356CD0"/>
    <w:rsid w:val="00362CD9"/>
    <w:rsid w:val="00373289"/>
    <w:rsid w:val="003761CA"/>
    <w:rsid w:val="00380DAF"/>
    <w:rsid w:val="003972CE"/>
    <w:rsid w:val="003A4EDE"/>
    <w:rsid w:val="003B28F5"/>
    <w:rsid w:val="003B7B7D"/>
    <w:rsid w:val="003C54CB"/>
    <w:rsid w:val="003C7A2A"/>
    <w:rsid w:val="003D2DC1"/>
    <w:rsid w:val="003D69D0"/>
    <w:rsid w:val="003E262A"/>
    <w:rsid w:val="003F2918"/>
    <w:rsid w:val="003F430E"/>
    <w:rsid w:val="0041088C"/>
    <w:rsid w:val="00412DD0"/>
    <w:rsid w:val="00420A38"/>
    <w:rsid w:val="00424649"/>
    <w:rsid w:val="00431B19"/>
    <w:rsid w:val="00437A0D"/>
    <w:rsid w:val="00441BE3"/>
    <w:rsid w:val="004661AD"/>
    <w:rsid w:val="00467228"/>
    <w:rsid w:val="004A6C1D"/>
    <w:rsid w:val="004D1D85"/>
    <w:rsid w:val="004D3C3A"/>
    <w:rsid w:val="004E1CD1"/>
    <w:rsid w:val="004E4601"/>
    <w:rsid w:val="004F2266"/>
    <w:rsid w:val="004F7EFC"/>
    <w:rsid w:val="00500545"/>
    <w:rsid w:val="005107EB"/>
    <w:rsid w:val="00514E17"/>
    <w:rsid w:val="00521345"/>
    <w:rsid w:val="00526DF0"/>
    <w:rsid w:val="00545CC4"/>
    <w:rsid w:val="00551FFF"/>
    <w:rsid w:val="005607A2"/>
    <w:rsid w:val="0057198B"/>
    <w:rsid w:val="00573CFE"/>
    <w:rsid w:val="00590A28"/>
    <w:rsid w:val="005969F2"/>
    <w:rsid w:val="00597FAE"/>
    <w:rsid w:val="005A2EBC"/>
    <w:rsid w:val="005B32A3"/>
    <w:rsid w:val="005C0D44"/>
    <w:rsid w:val="005C566C"/>
    <w:rsid w:val="005C7E69"/>
    <w:rsid w:val="005E262D"/>
    <w:rsid w:val="005E3050"/>
    <w:rsid w:val="005F23D3"/>
    <w:rsid w:val="005F29DB"/>
    <w:rsid w:val="005F7E20"/>
    <w:rsid w:val="00605E43"/>
    <w:rsid w:val="00612403"/>
    <w:rsid w:val="006153BB"/>
    <w:rsid w:val="00630F07"/>
    <w:rsid w:val="006648E9"/>
    <w:rsid w:val="006652C3"/>
    <w:rsid w:val="0068287E"/>
    <w:rsid w:val="00691FD0"/>
    <w:rsid w:val="00692148"/>
    <w:rsid w:val="006A1A1E"/>
    <w:rsid w:val="006B7BAB"/>
    <w:rsid w:val="006C5948"/>
    <w:rsid w:val="006E79E5"/>
    <w:rsid w:val="006F2A74"/>
    <w:rsid w:val="007000D4"/>
    <w:rsid w:val="00701423"/>
    <w:rsid w:val="007118F5"/>
    <w:rsid w:val="00712AA4"/>
    <w:rsid w:val="007146C4"/>
    <w:rsid w:val="00721AA1"/>
    <w:rsid w:val="00724B67"/>
    <w:rsid w:val="0073074D"/>
    <w:rsid w:val="00744E68"/>
    <w:rsid w:val="007547F8"/>
    <w:rsid w:val="00765622"/>
    <w:rsid w:val="00770B6C"/>
    <w:rsid w:val="00783176"/>
    <w:rsid w:val="00783FEA"/>
    <w:rsid w:val="007A395D"/>
    <w:rsid w:val="007B5789"/>
    <w:rsid w:val="007B6BD5"/>
    <w:rsid w:val="007C346C"/>
    <w:rsid w:val="007E6479"/>
    <w:rsid w:val="007F2182"/>
    <w:rsid w:val="0080294B"/>
    <w:rsid w:val="00811E54"/>
    <w:rsid w:val="00817556"/>
    <w:rsid w:val="00820652"/>
    <w:rsid w:val="0082480E"/>
    <w:rsid w:val="008413E4"/>
    <w:rsid w:val="0085001A"/>
    <w:rsid w:val="00850293"/>
    <w:rsid w:val="00851373"/>
    <w:rsid w:val="00851BA6"/>
    <w:rsid w:val="0085654D"/>
    <w:rsid w:val="00861160"/>
    <w:rsid w:val="0086654F"/>
    <w:rsid w:val="00873858"/>
    <w:rsid w:val="00877A76"/>
    <w:rsid w:val="00885C13"/>
    <w:rsid w:val="008A356F"/>
    <w:rsid w:val="008A4653"/>
    <w:rsid w:val="008A4717"/>
    <w:rsid w:val="008A50CC"/>
    <w:rsid w:val="008B3040"/>
    <w:rsid w:val="008D1694"/>
    <w:rsid w:val="008D79CB"/>
    <w:rsid w:val="008E7AE1"/>
    <w:rsid w:val="008F07BC"/>
    <w:rsid w:val="0092692B"/>
    <w:rsid w:val="00930561"/>
    <w:rsid w:val="00943E9C"/>
    <w:rsid w:val="00953F4D"/>
    <w:rsid w:val="00960BB8"/>
    <w:rsid w:val="00964F5C"/>
    <w:rsid w:val="00973B57"/>
    <w:rsid w:val="00975900"/>
    <w:rsid w:val="00983105"/>
    <w:rsid w:val="009831C0"/>
    <w:rsid w:val="009839CE"/>
    <w:rsid w:val="0099161D"/>
    <w:rsid w:val="009A2A11"/>
    <w:rsid w:val="00A0389B"/>
    <w:rsid w:val="00A202F1"/>
    <w:rsid w:val="00A33A3C"/>
    <w:rsid w:val="00A446C9"/>
    <w:rsid w:val="00A54CF7"/>
    <w:rsid w:val="00A56DD9"/>
    <w:rsid w:val="00A635D6"/>
    <w:rsid w:val="00A6525B"/>
    <w:rsid w:val="00A8553A"/>
    <w:rsid w:val="00A93AED"/>
    <w:rsid w:val="00AA5913"/>
    <w:rsid w:val="00AC368A"/>
    <w:rsid w:val="00AC594F"/>
    <w:rsid w:val="00AD4654"/>
    <w:rsid w:val="00AE0AD8"/>
    <w:rsid w:val="00AE1319"/>
    <w:rsid w:val="00AE34BB"/>
    <w:rsid w:val="00B226F2"/>
    <w:rsid w:val="00B274DF"/>
    <w:rsid w:val="00B46DB3"/>
    <w:rsid w:val="00B56BDF"/>
    <w:rsid w:val="00B65812"/>
    <w:rsid w:val="00B85CD6"/>
    <w:rsid w:val="00B90A27"/>
    <w:rsid w:val="00B91ED0"/>
    <w:rsid w:val="00B9554D"/>
    <w:rsid w:val="00BA39F5"/>
    <w:rsid w:val="00BB2B9F"/>
    <w:rsid w:val="00BB7D9E"/>
    <w:rsid w:val="00BC0BEF"/>
    <w:rsid w:val="00BC2334"/>
    <w:rsid w:val="00BD3CB8"/>
    <w:rsid w:val="00BD4E6F"/>
    <w:rsid w:val="00BF32F0"/>
    <w:rsid w:val="00BF4DCE"/>
    <w:rsid w:val="00C05CE5"/>
    <w:rsid w:val="00C1575F"/>
    <w:rsid w:val="00C35214"/>
    <w:rsid w:val="00C6171E"/>
    <w:rsid w:val="00C758FA"/>
    <w:rsid w:val="00CA6F2C"/>
    <w:rsid w:val="00CC4E03"/>
    <w:rsid w:val="00CD6A13"/>
    <w:rsid w:val="00CF1871"/>
    <w:rsid w:val="00CF78D9"/>
    <w:rsid w:val="00D019CE"/>
    <w:rsid w:val="00D1133E"/>
    <w:rsid w:val="00D17A34"/>
    <w:rsid w:val="00D26628"/>
    <w:rsid w:val="00D332B3"/>
    <w:rsid w:val="00D430F4"/>
    <w:rsid w:val="00D55207"/>
    <w:rsid w:val="00D81801"/>
    <w:rsid w:val="00D864E3"/>
    <w:rsid w:val="00D92B45"/>
    <w:rsid w:val="00D936C2"/>
    <w:rsid w:val="00D95962"/>
    <w:rsid w:val="00DC389B"/>
    <w:rsid w:val="00DE2859"/>
    <w:rsid w:val="00DE2FEE"/>
    <w:rsid w:val="00E00BE9"/>
    <w:rsid w:val="00E07085"/>
    <w:rsid w:val="00E22A11"/>
    <w:rsid w:val="00E2349C"/>
    <w:rsid w:val="00E31E5C"/>
    <w:rsid w:val="00E44DD2"/>
    <w:rsid w:val="00E558C3"/>
    <w:rsid w:val="00E55927"/>
    <w:rsid w:val="00E60540"/>
    <w:rsid w:val="00E62669"/>
    <w:rsid w:val="00E75A1F"/>
    <w:rsid w:val="00E912A6"/>
    <w:rsid w:val="00E96375"/>
    <w:rsid w:val="00EA4844"/>
    <w:rsid w:val="00EA4D9C"/>
    <w:rsid w:val="00EA5A97"/>
    <w:rsid w:val="00EB75EE"/>
    <w:rsid w:val="00EC12D8"/>
    <w:rsid w:val="00ED4EFF"/>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69320D23"/>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Spacing">
    <w:name w:val="No Spacing"/>
    <w:uiPriority w:val="1"/>
    <w:qFormat/>
    <w:rsid w:val="0085001A"/>
    <w:rPr>
      <w:rFonts w:asciiTheme="minorHAnsi" w:eastAsiaTheme="minorHAnsi" w:hAnsiTheme="minorHAnsi" w:cstheme="minorBidi"/>
      <w:sz w:val="22"/>
      <w:szCs w:val="22"/>
      <w:lang w:val="en-AU" w:eastAsia="en-US"/>
    </w:rPr>
  </w:style>
  <w:style w:type="paragraph" w:styleId="Revision">
    <w:name w:val="Revision"/>
    <w:hidden/>
    <w:uiPriority w:val="99"/>
    <w:semiHidden/>
    <w:rsid w:val="00B46DB3"/>
    <w:rPr>
      <w:rFonts w:ascii="Arial" w:hAnsi="Arial" w:cs="Calibri"/>
      <w:sz w:val="22"/>
      <w:szCs w:val="22"/>
    </w:rPr>
  </w:style>
  <w:style w:type="paragraph" w:styleId="Caption">
    <w:name w:val="caption"/>
    <w:basedOn w:val="Normal"/>
    <w:next w:val="Normal"/>
    <w:uiPriority w:val="35"/>
    <w:unhideWhenUsed/>
    <w:qFormat/>
    <w:rsid w:val="00AC594F"/>
    <w:pPr>
      <w:spacing w:after="200"/>
    </w:pPr>
    <w:rPr>
      <w:rFonts w:asciiTheme="minorHAnsi" w:eastAsiaTheme="minorHAnsi" w:hAnsiTheme="minorHAnsi" w:cstheme="minorBidi"/>
      <w:i/>
      <w:iCs/>
      <w:color w:val="1F497D" w:themeColor="text2"/>
      <w:sz w:val="18"/>
      <w:szCs w:val="18"/>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DAA6B-E222-4ECF-9159-C3FE5300C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2070</Words>
  <Characters>11800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7</cp:revision>
  <dcterms:created xsi:type="dcterms:W3CDTF">2019-03-07T01:24:00Z</dcterms:created>
  <dcterms:modified xsi:type="dcterms:W3CDTF">2019-03-25T18:06:00Z</dcterms:modified>
</cp:coreProperties>
</file>